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6480" w:rsidRPr="00E16480" w:rsidRDefault="00E16480" w:rsidP="00E16480">
      <w:pPr>
        <w:jc w:val="center"/>
        <w:rPr>
          <w:b/>
          <w:u w:val="single"/>
        </w:rPr>
      </w:pPr>
      <w:r w:rsidRPr="00E16480">
        <w:rPr>
          <w:b/>
          <w:u w:val="single"/>
        </w:rPr>
        <w:t>Arizona</w:t>
      </w:r>
    </w:p>
    <w:p w:rsidR="00E16480" w:rsidRPr="00E16480" w:rsidRDefault="00E16480" w:rsidP="00E16480">
      <w:pPr>
        <w:spacing w:after="0" w:line="240" w:lineRule="auto"/>
        <w:ind w:left="720"/>
        <w:rPr>
          <w:rFonts w:ascii="Calibri" w:hAnsi="Calibri" w:cs="Times New Roman"/>
        </w:rPr>
      </w:pPr>
    </w:p>
    <w:p w:rsidR="00E16480" w:rsidRPr="00E16480" w:rsidRDefault="00E16480" w:rsidP="00E16480">
      <w:pPr>
        <w:numPr>
          <w:ilvl w:val="0"/>
          <w:numId w:val="1"/>
        </w:numPr>
        <w:spacing w:after="0" w:line="240" w:lineRule="auto"/>
        <w:rPr>
          <w:rFonts w:ascii="Calibri" w:hAnsi="Calibri" w:cs="Times New Roman"/>
        </w:rPr>
      </w:pPr>
      <w:r w:rsidRPr="00E16480">
        <w:rPr>
          <w:rFonts w:ascii="Calibri" w:hAnsi="Calibri" w:cs="Times New Roman"/>
        </w:rPr>
        <w:t>Is penalty abatement available?</w:t>
      </w:r>
    </w:p>
    <w:p w:rsidR="00E16480" w:rsidRPr="00E16480" w:rsidRDefault="00E16480" w:rsidP="00E16480">
      <w:pPr>
        <w:numPr>
          <w:ilvl w:val="1"/>
          <w:numId w:val="1"/>
        </w:numPr>
        <w:spacing w:after="0" w:line="240" w:lineRule="auto"/>
        <w:rPr>
          <w:rFonts w:ascii="Calibri" w:hAnsi="Calibri" w:cs="Times New Roman"/>
        </w:rPr>
      </w:pPr>
      <w:r w:rsidRPr="00E16480">
        <w:rPr>
          <w:rFonts w:ascii="Calibri" w:hAnsi="Calibri" w:cs="Times New Roman"/>
        </w:rPr>
        <w:t>Yes</w:t>
      </w:r>
    </w:p>
    <w:p w:rsidR="00E16480" w:rsidRPr="00E16480" w:rsidRDefault="00E16480" w:rsidP="00E16480">
      <w:pPr>
        <w:spacing w:after="0" w:line="240" w:lineRule="auto"/>
        <w:ind w:left="720"/>
        <w:rPr>
          <w:rFonts w:ascii="Calibri" w:hAnsi="Calibri" w:cs="Times New Roman"/>
        </w:rPr>
      </w:pPr>
    </w:p>
    <w:p w:rsidR="00086276" w:rsidRDefault="00E16480" w:rsidP="00086276">
      <w:pPr>
        <w:numPr>
          <w:ilvl w:val="0"/>
          <w:numId w:val="1"/>
        </w:numPr>
        <w:spacing w:after="0" w:line="240" w:lineRule="auto"/>
        <w:rPr>
          <w:rFonts w:ascii="Calibri" w:hAnsi="Calibri" w:cs="Times New Roman"/>
        </w:rPr>
      </w:pPr>
      <w:r w:rsidRPr="00E16480">
        <w:rPr>
          <w:rFonts w:ascii="Calibri" w:hAnsi="Calibri" w:cs="Times New Roman"/>
        </w:rPr>
        <w:t>What is the statute/law that authorizes the state to abate penalties?</w:t>
      </w:r>
    </w:p>
    <w:p w:rsidR="00086276" w:rsidRDefault="00057693" w:rsidP="00086276">
      <w:pPr>
        <w:numPr>
          <w:ilvl w:val="1"/>
          <w:numId w:val="1"/>
        </w:numPr>
        <w:spacing w:after="0" w:line="240" w:lineRule="auto"/>
        <w:rPr>
          <w:rStyle w:val="Strong"/>
          <w:rFonts w:ascii="Calibri" w:hAnsi="Calibri" w:cs="Times New Roman"/>
          <w:b w:val="0"/>
          <w:bCs w:val="0"/>
        </w:rPr>
      </w:pPr>
      <w:hyperlink r:id="rId5" w:history="1">
        <w:r w:rsidRPr="00057693">
          <w:rPr>
            <w:rStyle w:val="Hyperlink"/>
          </w:rPr>
          <w:t>A.R.S. § 42-2062</w:t>
        </w:r>
      </w:hyperlink>
      <w:r>
        <w:t>-</w:t>
      </w:r>
      <w:r>
        <w:rPr>
          <w:rStyle w:val="Strong"/>
        </w:rPr>
        <w:t>Abatement of penalties; definition</w:t>
      </w:r>
    </w:p>
    <w:p w:rsidR="00057693" w:rsidRPr="00086276" w:rsidRDefault="00057693" w:rsidP="00086276">
      <w:pPr>
        <w:numPr>
          <w:ilvl w:val="1"/>
          <w:numId w:val="1"/>
        </w:numPr>
        <w:spacing w:after="0" w:line="240" w:lineRule="auto"/>
        <w:rPr>
          <w:rStyle w:val="Strong"/>
          <w:rFonts w:ascii="Calibri" w:hAnsi="Calibri" w:cs="Times New Roman"/>
          <w:b w:val="0"/>
          <w:bCs w:val="0"/>
        </w:rPr>
      </w:pPr>
      <w:hyperlink r:id="rId6" w:history="1">
        <w:r w:rsidRPr="00057693">
          <w:rPr>
            <w:rStyle w:val="Hyperlink"/>
          </w:rPr>
          <w:t>A.R.S. § 42-2065</w:t>
        </w:r>
      </w:hyperlink>
      <w:r>
        <w:t>-</w:t>
      </w:r>
      <w:r>
        <w:rPr>
          <w:rStyle w:val="Strong"/>
        </w:rPr>
        <w:t>Abatement of interest for errors or delays caused by the department</w:t>
      </w:r>
    </w:p>
    <w:p w:rsidR="00E16480" w:rsidRPr="00E16480" w:rsidRDefault="00E16480" w:rsidP="00057693">
      <w:pPr>
        <w:spacing w:after="0" w:line="240" w:lineRule="auto"/>
        <w:rPr>
          <w:rFonts w:ascii="Calibri" w:hAnsi="Calibri" w:cs="Times New Roman"/>
        </w:rPr>
      </w:pPr>
    </w:p>
    <w:p w:rsidR="00086276" w:rsidRDefault="00E16480" w:rsidP="00086276">
      <w:pPr>
        <w:numPr>
          <w:ilvl w:val="0"/>
          <w:numId w:val="1"/>
        </w:numPr>
        <w:spacing w:after="0" w:line="240" w:lineRule="auto"/>
        <w:rPr>
          <w:rFonts w:ascii="Calibri" w:hAnsi="Calibri" w:cs="Times New Roman"/>
        </w:rPr>
      </w:pPr>
      <w:r w:rsidRPr="00E16480">
        <w:rPr>
          <w:rFonts w:ascii="Calibri" w:hAnsi="Calibri" w:cs="Times New Roman"/>
        </w:rPr>
        <w:t xml:space="preserve">What is the statute/law/guidance (internal memorandum to employees reviewing PA requests) that outlines what justifies relief?  </w:t>
      </w:r>
    </w:p>
    <w:p w:rsidR="00057693" w:rsidRPr="00086276" w:rsidRDefault="00086276" w:rsidP="00086276">
      <w:pPr>
        <w:numPr>
          <w:ilvl w:val="1"/>
          <w:numId w:val="1"/>
        </w:numPr>
        <w:spacing w:after="0" w:line="240" w:lineRule="auto"/>
        <w:rPr>
          <w:rStyle w:val="Hyperlink"/>
          <w:rFonts w:ascii="Calibri" w:hAnsi="Calibri" w:cs="Times New Roman"/>
          <w:color w:val="auto"/>
          <w:u w:val="none"/>
        </w:rPr>
      </w:pPr>
      <w:hyperlink r:id="rId7" w:history="1">
        <w:r>
          <w:rPr>
            <w:rStyle w:val="Hyperlink"/>
          </w:rPr>
          <w:t>P</w:t>
        </w:r>
        <w:r w:rsidRPr="00086276">
          <w:rPr>
            <w:rStyle w:val="Hyperlink"/>
          </w:rPr>
          <w:t>ub700_June15 TIA - Arizona Department of Rev</w:t>
        </w:r>
        <w:r w:rsidRPr="00086276">
          <w:rPr>
            <w:rStyle w:val="Hyperlink"/>
          </w:rPr>
          <w:t>e</w:t>
        </w:r>
        <w:r w:rsidRPr="00086276">
          <w:rPr>
            <w:rStyle w:val="Hyperlink"/>
          </w:rPr>
          <w:t>nue</w:t>
        </w:r>
      </w:hyperlink>
    </w:p>
    <w:p w:rsidR="00E16480" w:rsidRPr="00E16480" w:rsidRDefault="00E16480" w:rsidP="00E16480">
      <w:pPr>
        <w:spacing w:after="0" w:line="240" w:lineRule="auto"/>
        <w:ind w:left="720"/>
        <w:rPr>
          <w:rFonts w:ascii="Calibri" w:hAnsi="Calibri" w:cs="Times New Roman"/>
        </w:rPr>
      </w:pPr>
    </w:p>
    <w:p w:rsidR="00E16480" w:rsidRDefault="00E16480" w:rsidP="00E16480">
      <w:pPr>
        <w:numPr>
          <w:ilvl w:val="0"/>
          <w:numId w:val="1"/>
        </w:numPr>
        <w:spacing w:after="0" w:line="240" w:lineRule="auto"/>
        <w:rPr>
          <w:rFonts w:ascii="Calibri" w:hAnsi="Calibri" w:cs="Times New Roman"/>
        </w:rPr>
      </w:pPr>
      <w:r w:rsidRPr="00E16480">
        <w:rPr>
          <w:rFonts w:ascii="Calibri" w:hAnsi="Calibri" w:cs="Times New Roman"/>
        </w:rPr>
        <w:t>Is there a specific form that must be filed to request abatement, or does the taxpayer just submit written statement. What needs to be included in the statement if the state does not have a form?</w:t>
      </w:r>
    </w:p>
    <w:p w:rsidR="00086276" w:rsidRPr="00E16480" w:rsidRDefault="00086276" w:rsidP="00086276">
      <w:pPr>
        <w:numPr>
          <w:ilvl w:val="1"/>
          <w:numId w:val="1"/>
        </w:numPr>
        <w:spacing w:after="0" w:line="240" w:lineRule="auto"/>
        <w:rPr>
          <w:rFonts w:ascii="Calibri" w:hAnsi="Calibri" w:cs="Times New Roman"/>
        </w:rPr>
      </w:pPr>
      <w:r>
        <w:rPr>
          <w:rFonts w:ascii="Calibri" w:hAnsi="Calibri" w:cs="Times New Roman"/>
        </w:rPr>
        <w:t>Form Arizona 290</w:t>
      </w:r>
    </w:p>
    <w:p w:rsidR="00E16480" w:rsidRPr="00E16480" w:rsidRDefault="00E16480" w:rsidP="00086276">
      <w:pPr>
        <w:spacing w:after="0" w:line="240" w:lineRule="auto"/>
        <w:rPr>
          <w:rFonts w:ascii="Calibri" w:hAnsi="Calibri" w:cs="Times New Roman"/>
        </w:rPr>
      </w:pPr>
    </w:p>
    <w:p w:rsidR="00086276" w:rsidRDefault="00E16480" w:rsidP="00086276">
      <w:pPr>
        <w:numPr>
          <w:ilvl w:val="0"/>
          <w:numId w:val="1"/>
        </w:numPr>
        <w:spacing w:after="0" w:line="240" w:lineRule="auto"/>
        <w:rPr>
          <w:rFonts w:ascii="Calibri" w:hAnsi="Calibri" w:cs="Times New Roman"/>
        </w:rPr>
      </w:pPr>
      <w:r w:rsidRPr="00E16480">
        <w:rPr>
          <w:rFonts w:ascii="Calibri" w:hAnsi="Calibri" w:cs="Times New Roman"/>
        </w:rPr>
        <w:t>Where and how are the requests submitted?  Can they be made orally over the phone through an authorized POA? Must the submissions be mailed, or can they be faxed?</w:t>
      </w:r>
    </w:p>
    <w:p w:rsidR="00086276" w:rsidRPr="00086276" w:rsidRDefault="00086276" w:rsidP="00086276">
      <w:pPr>
        <w:numPr>
          <w:ilvl w:val="1"/>
          <w:numId w:val="1"/>
        </w:numPr>
        <w:spacing w:after="0" w:line="240" w:lineRule="auto"/>
        <w:rPr>
          <w:rFonts w:ascii="Calibri" w:hAnsi="Calibri" w:cs="Times New Roman"/>
        </w:rPr>
      </w:pPr>
      <w:r w:rsidRPr="00086276">
        <w:rPr>
          <w:rFonts w:ascii="Verdana" w:hAnsi="Verdana" w:cs="Verdana"/>
          <w:color w:val="231F20"/>
          <w:sz w:val="20"/>
          <w:szCs w:val="20"/>
        </w:rPr>
        <w:t>PENALTY REVIEW UNIT, DIVISION 9</w:t>
      </w:r>
    </w:p>
    <w:p w:rsidR="00086276" w:rsidRDefault="00086276" w:rsidP="00086276">
      <w:pPr>
        <w:autoSpaceDE w:val="0"/>
        <w:autoSpaceDN w:val="0"/>
        <w:adjustRightInd w:val="0"/>
        <w:spacing w:after="0" w:line="240" w:lineRule="auto"/>
        <w:ind w:left="720" w:firstLine="720"/>
        <w:rPr>
          <w:rFonts w:ascii="Verdana" w:hAnsi="Verdana" w:cs="Verdana"/>
          <w:color w:val="231F20"/>
          <w:sz w:val="20"/>
          <w:szCs w:val="20"/>
        </w:rPr>
      </w:pPr>
      <w:r>
        <w:rPr>
          <w:rFonts w:ascii="Verdana" w:hAnsi="Verdana" w:cs="Verdana"/>
          <w:color w:val="231F20"/>
          <w:sz w:val="20"/>
          <w:szCs w:val="20"/>
        </w:rPr>
        <w:t>ARIZONA DEPARTMENT OF REVENUE</w:t>
      </w:r>
    </w:p>
    <w:p w:rsidR="00086276" w:rsidRDefault="00086276" w:rsidP="00086276">
      <w:pPr>
        <w:autoSpaceDE w:val="0"/>
        <w:autoSpaceDN w:val="0"/>
        <w:adjustRightInd w:val="0"/>
        <w:spacing w:after="0" w:line="240" w:lineRule="auto"/>
        <w:ind w:left="1440"/>
        <w:rPr>
          <w:rFonts w:ascii="Verdana" w:hAnsi="Verdana" w:cs="Verdana"/>
          <w:color w:val="231F20"/>
          <w:sz w:val="20"/>
          <w:szCs w:val="20"/>
        </w:rPr>
      </w:pPr>
      <w:r>
        <w:rPr>
          <w:rFonts w:ascii="Verdana" w:hAnsi="Verdana" w:cs="Verdana"/>
          <w:color w:val="231F20"/>
          <w:sz w:val="20"/>
          <w:szCs w:val="20"/>
        </w:rPr>
        <w:t>1600 W MONROE ST</w:t>
      </w:r>
    </w:p>
    <w:p w:rsidR="001D189A" w:rsidRDefault="00086276" w:rsidP="001D189A">
      <w:pPr>
        <w:autoSpaceDE w:val="0"/>
        <w:autoSpaceDN w:val="0"/>
        <w:adjustRightInd w:val="0"/>
        <w:spacing w:after="0" w:line="240" w:lineRule="auto"/>
        <w:ind w:left="720" w:firstLine="720"/>
        <w:rPr>
          <w:rFonts w:ascii="Verdana" w:hAnsi="Verdana" w:cs="Verdana"/>
          <w:color w:val="231F20"/>
          <w:sz w:val="20"/>
          <w:szCs w:val="20"/>
        </w:rPr>
      </w:pPr>
      <w:r>
        <w:rPr>
          <w:rFonts w:ascii="Verdana" w:hAnsi="Verdana" w:cs="Verdana"/>
          <w:color w:val="231F20"/>
          <w:sz w:val="20"/>
          <w:szCs w:val="20"/>
        </w:rPr>
        <w:t>PHOENIX AZ 85007-2612</w:t>
      </w:r>
    </w:p>
    <w:p w:rsidR="001D189A" w:rsidRPr="001D189A" w:rsidRDefault="001D189A" w:rsidP="001D189A">
      <w:pPr>
        <w:pStyle w:val="ListParagraph"/>
        <w:numPr>
          <w:ilvl w:val="1"/>
          <w:numId w:val="1"/>
        </w:numPr>
        <w:autoSpaceDE w:val="0"/>
        <w:autoSpaceDN w:val="0"/>
        <w:adjustRightInd w:val="0"/>
        <w:spacing w:after="0" w:line="240" w:lineRule="auto"/>
        <w:rPr>
          <w:rFonts w:ascii="Verdana" w:hAnsi="Verdana" w:cs="Verdana"/>
          <w:color w:val="231F20"/>
          <w:sz w:val="20"/>
          <w:szCs w:val="20"/>
        </w:rPr>
      </w:pPr>
      <w:r>
        <w:rPr>
          <w:rFonts w:ascii="Verdana" w:hAnsi="Verdana" w:cs="Verdana"/>
          <w:color w:val="231F20"/>
          <w:sz w:val="20"/>
          <w:szCs w:val="20"/>
        </w:rPr>
        <w:t xml:space="preserve">Can be </w:t>
      </w:r>
      <w:proofErr w:type="gramStart"/>
      <w:r>
        <w:rPr>
          <w:rFonts w:ascii="Verdana" w:hAnsi="Verdana" w:cs="Verdana"/>
          <w:color w:val="231F20"/>
          <w:sz w:val="20"/>
          <w:szCs w:val="20"/>
        </w:rPr>
        <w:t>faxed(</w:t>
      </w:r>
      <w:proofErr w:type="gramEnd"/>
      <w:r>
        <w:rPr>
          <w:rFonts w:ascii="Verdana" w:hAnsi="Verdana" w:cs="Verdana"/>
          <w:color w:val="231F20"/>
          <w:sz w:val="20"/>
          <w:szCs w:val="20"/>
        </w:rPr>
        <w:t xml:space="preserve">see the number below) However, penalty abatement cannot be orally. </w:t>
      </w:r>
      <w:bookmarkStart w:id="0" w:name="_GoBack"/>
      <w:bookmarkEnd w:id="0"/>
    </w:p>
    <w:p w:rsidR="00086276" w:rsidRDefault="00086276" w:rsidP="00086276">
      <w:pPr>
        <w:numPr>
          <w:ilvl w:val="1"/>
          <w:numId w:val="1"/>
        </w:numPr>
        <w:spacing w:after="0" w:line="240" w:lineRule="auto"/>
        <w:rPr>
          <w:rFonts w:ascii="Calibri" w:hAnsi="Calibri" w:cs="Times New Roman"/>
        </w:rPr>
      </w:pPr>
      <w:r>
        <w:rPr>
          <w:rFonts w:ascii="Verdana" w:hAnsi="Verdana" w:cs="Verdana"/>
          <w:color w:val="231F20"/>
          <w:sz w:val="20"/>
          <w:szCs w:val="20"/>
        </w:rPr>
        <w:t>Fax No. 602-716-6787</w:t>
      </w:r>
    </w:p>
    <w:p w:rsidR="006E1D35" w:rsidRDefault="001D189A"/>
    <w:sectPr w:rsidR="006E1D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AE237EA"/>
    <w:multiLevelType w:val="hybridMultilevel"/>
    <w:tmpl w:val="C8DC5C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6E23"/>
    <w:rsid w:val="00057693"/>
    <w:rsid w:val="00086276"/>
    <w:rsid w:val="001D189A"/>
    <w:rsid w:val="006C24DA"/>
    <w:rsid w:val="00B569F8"/>
    <w:rsid w:val="00E16480"/>
    <w:rsid w:val="00E86E23"/>
    <w:rsid w:val="00EE517B"/>
    <w:rsid w:val="00FA5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6713A4-F0DD-46EC-82FC-3A9FD6C83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057693"/>
    <w:rPr>
      <w:b/>
      <w:bCs/>
    </w:rPr>
  </w:style>
  <w:style w:type="character" w:styleId="Hyperlink">
    <w:name w:val="Hyperlink"/>
    <w:basedOn w:val="DefaultParagraphFont"/>
    <w:uiPriority w:val="99"/>
    <w:unhideWhenUsed/>
    <w:rsid w:val="00057693"/>
    <w:rPr>
      <w:color w:val="0563C1" w:themeColor="hyperlink"/>
      <w:u w:val="single"/>
    </w:rPr>
  </w:style>
  <w:style w:type="character" w:styleId="FollowedHyperlink">
    <w:name w:val="FollowedHyperlink"/>
    <w:basedOn w:val="DefaultParagraphFont"/>
    <w:uiPriority w:val="99"/>
    <w:semiHidden/>
    <w:unhideWhenUsed/>
    <w:rsid w:val="00086276"/>
    <w:rPr>
      <w:color w:val="954F72" w:themeColor="followedHyperlink"/>
      <w:u w:val="single"/>
    </w:rPr>
  </w:style>
  <w:style w:type="paragraph" w:styleId="ListParagraph">
    <w:name w:val="List Paragraph"/>
    <w:basedOn w:val="Normal"/>
    <w:uiPriority w:val="34"/>
    <w:qFormat/>
    <w:rsid w:val="001D18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oogle.com/url?sa=t&amp;rct=j&amp;q=&amp;esrc=s&amp;source=web&amp;cd=1&amp;cad=rja&amp;uact=8&amp;ved=0ahUKEwiEtoPVvN_NAhVEdR4KHVefAVsQFgg_MAA&amp;url=https%3A%2F%2Fwww.azdor.gov%2FPortals%2F0%2FBrochure%2F700.pdf&amp;usg=AFQjCNHII48UKyCYzq0o3kNO9RsWsdW7m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1.next.westlaw.com/Document/N9F9EC7F0717011DAA16E8D4AC7636430/View/FullText.html?originationContext=documenttoc&amp;transitionType=CategoryPageItem&amp;contextData=(sc.Default)" TargetMode="External"/><Relationship Id="rId5" Type="http://schemas.openxmlformats.org/officeDocument/2006/relationships/hyperlink" Target="https://1.next.westlaw.com/Document/N9F08F090717011DAA16E8D4AC7636430/View/FullText.html?originationContext=documenttoc&amp;transitionType=CategoryPageItem&amp;contextData=(sc.Defaul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246</Words>
  <Characters>1403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 LoresDeLaPena</dc:creator>
  <cp:keywords/>
  <dc:description/>
  <cp:lastModifiedBy>Adrian LoresDeLaPena</cp:lastModifiedBy>
  <cp:revision>3</cp:revision>
  <dcterms:created xsi:type="dcterms:W3CDTF">2016-07-06T18:30:00Z</dcterms:created>
  <dcterms:modified xsi:type="dcterms:W3CDTF">2016-07-06T19:01:00Z</dcterms:modified>
</cp:coreProperties>
</file>