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E0688" w14:textId="77777777" w:rsidR="00A9541E" w:rsidRPr="00A9541E" w:rsidRDefault="00A9541E" w:rsidP="00A9541E">
      <w:pPr>
        <w:shd w:val="clear" w:color="auto" w:fill="FFFFFF"/>
        <w:spacing w:after="100" w:afterAutospacing="1" w:line="240" w:lineRule="auto"/>
        <w:outlineLvl w:val="0"/>
        <w:rPr>
          <w:rFonts w:ascii="inherit" w:eastAsia="Times New Roman" w:hAnsi="inherit" w:cs="Segoe UI"/>
          <w:b/>
          <w:bCs/>
          <w:color w:val="2A2A2A"/>
          <w:kern w:val="36"/>
          <w:sz w:val="48"/>
          <w:szCs w:val="48"/>
          <w14:ligatures w14:val="none"/>
        </w:rPr>
      </w:pPr>
      <w:r w:rsidRPr="00A9541E">
        <w:rPr>
          <w:rFonts w:ascii="inherit" w:eastAsia="Times New Roman" w:hAnsi="inherit" w:cs="Segoe UI"/>
          <w:b/>
          <w:bCs/>
          <w:color w:val="2A2A2A"/>
          <w:kern w:val="36"/>
          <w:sz w:val="48"/>
          <w:szCs w:val="48"/>
          <w14:ligatures w14:val="none"/>
        </w:rPr>
        <w:t>How your business can prepare for and respond to an IRS audit</w:t>
      </w:r>
    </w:p>
    <w:p w14:paraId="452D66C6" w14:textId="77777777" w:rsidR="00A9541E" w:rsidRPr="00A9541E" w:rsidRDefault="00A9541E" w:rsidP="00A9541E">
      <w:pPr>
        <w:shd w:val="clear" w:color="auto" w:fill="FFFFFF"/>
        <w:spacing w:after="0" w:line="240" w:lineRule="auto"/>
        <w:rPr>
          <w:rFonts w:ascii="Segoe UI" w:eastAsia="Times New Roman" w:hAnsi="Segoe UI" w:cs="Segoe UI"/>
          <w:color w:val="666666"/>
          <w:kern w:val="0"/>
          <w14:ligatures w14:val="none"/>
        </w:rPr>
      </w:pPr>
      <w:r w:rsidRPr="00A9541E">
        <w:rPr>
          <w:rFonts w:ascii="Segoe UI" w:eastAsia="Times New Roman" w:hAnsi="Segoe UI" w:cs="Segoe UI"/>
          <w:color w:val="666666"/>
          <w:kern w:val="0"/>
          <w14:ligatures w14:val="none"/>
        </w:rPr>
        <w:t xml:space="preserve">"October 14, </w:t>
      </w:r>
      <w:proofErr w:type="gramStart"/>
      <w:r w:rsidRPr="00A9541E">
        <w:rPr>
          <w:rFonts w:ascii="Segoe UI" w:eastAsia="Times New Roman" w:hAnsi="Segoe UI" w:cs="Segoe UI"/>
          <w:color w:val="666666"/>
          <w:kern w:val="0"/>
          <w14:ligatures w14:val="none"/>
        </w:rPr>
        <w:t>2024</w:t>
      </w:r>
      <w:proofErr w:type="gramEnd"/>
      <w:r w:rsidRPr="00A9541E">
        <w:rPr>
          <w:rFonts w:ascii="Segoe UI" w:eastAsia="Times New Roman" w:hAnsi="Segoe UI" w:cs="Segoe UI"/>
          <w:color w:val="666666"/>
          <w:kern w:val="0"/>
          <w14:ligatures w14:val="none"/>
        </w:rPr>
        <w:t xml:space="preserve"> by" </w:t>
      </w:r>
      <w:hyperlink r:id="rId5" w:history="1">
        <w:r w:rsidRPr="00A9541E">
          <w:rPr>
            <w:rFonts w:ascii="Segoe UI" w:eastAsia="Times New Roman" w:hAnsi="Segoe UI" w:cs="Segoe UI"/>
            <w:b/>
            <w:bCs/>
            <w:color w:val="1692BB"/>
            <w:kern w:val="0"/>
            <w14:ligatures w14:val="none"/>
          </w:rPr>
          <w:t>Bley &amp; Zeitlin, Certified Public Accountants</w:t>
        </w:r>
      </w:hyperlink>
    </w:p>
    <w:p w14:paraId="79CC8BD3" w14:textId="77777777" w:rsidR="00A9541E" w:rsidRPr="00A9541E" w:rsidRDefault="00A9541E" w:rsidP="00A9541E">
      <w:pPr>
        <w:shd w:val="clear" w:color="auto" w:fill="FFFFFF"/>
        <w:spacing w:after="0" w:line="240" w:lineRule="auto"/>
        <w:rPr>
          <w:rFonts w:ascii="Segoe UI" w:eastAsia="Times New Roman" w:hAnsi="Segoe UI" w:cs="Segoe UI"/>
          <w:color w:val="212529"/>
          <w:kern w:val="0"/>
          <w14:ligatures w14:val="none"/>
        </w:rPr>
      </w:pPr>
      <w:r w:rsidRPr="00A9541E">
        <w:rPr>
          <w:rFonts w:ascii="Segoe UI" w:eastAsia="Times New Roman" w:hAnsi="Segoe UI" w:cs="Segoe UI"/>
          <w:noProof/>
          <w:color w:val="212529"/>
          <w:kern w:val="0"/>
          <w14:ligatures w14:val="none"/>
        </w:rPr>
        <w:drawing>
          <wp:inline distT="0" distB="0" distL="0" distR="0" wp14:anchorId="7BBC8B9D" wp14:editId="0B45044B">
            <wp:extent cx="7801610" cy="4065905"/>
            <wp:effectExtent l="0" t="0" r="8890" b="0"/>
            <wp:docPr id="2" name="Picture 1" descr="How your business can prepare for and respond to an IRS au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your business can prepare for and respond to an IRS audi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01610" cy="4065905"/>
                    </a:xfrm>
                    <a:prstGeom prst="rect">
                      <a:avLst/>
                    </a:prstGeom>
                    <a:noFill/>
                    <a:ln>
                      <a:noFill/>
                    </a:ln>
                  </pic:spPr>
                </pic:pic>
              </a:graphicData>
            </a:graphic>
          </wp:inline>
        </w:drawing>
      </w:r>
    </w:p>
    <w:p w14:paraId="371D0BF3" w14:textId="77777777" w:rsidR="00A9541E" w:rsidRPr="00A9541E" w:rsidRDefault="00A9541E" w:rsidP="00A9541E">
      <w:pPr>
        <w:shd w:val="clear" w:color="auto" w:fill="FFFFFF"/>
        <w:spacing w:after="100" w:afterAutospacing="1" w:line="240" w:lineRule="auto"/>
        <w:rPr>
          <w:rFonts w:ascii="Segoe UI" w:eastAsia="Times New Roman" w:hAnsi="Segoe UI" w:cs="Segoe UI"/>
          <w:color w:val="222222"/>
          <w:kern w:val="0"/>
          <w14:ligatures w14:val="none"/>
        </w:rPr>
      </w:pPr>
      <w:r w:rsidRPr="00A9541E">
        <w:rPr>
          <w:rFonts w:ascii="Segoe UI" w:eastAsia="Times New Roman" w:hAnsi="Segoe UI" w:cs="Segoe UI"/>
          <w:color w:val="222222"/>
          <w:kern w:val="0"/>
          <w14:ligatures w14:val="none"/>
        </w:rPr>
        <w:t>The IRS has been increasing its audit efforts, focusing on large businesses and high-income individuals. By 2026, it plans to nearly triple its audit rates for large corporations with assets exceeding $250 million.</w:t>
      </w:r>
    </w:p>
    <w:p w14:paraId="70602B23" w14:textId="77777777" w:rsidR="00A9541E" w:rsidRPr="00A9541E" w:rsidRDefault="00A9541E" w:rsidP="00A9541E">
      <w:pPr>
        <w:shd w:val="clear" w:color="auto" w:fill="FFFFFF"/>
        <w:spacing w:after="100" w:afterAutospacing="1" w:line="240" w:lineRule="auto"/>
        <w:rPr>
          <w:rFonts w:ascii="Segoe UI" w:eastAsia="Times New Roman" w:hAnsi="Segoe UI" w:cs="Segoe UI"/>
          <w:color w:val="222222"/>
          <w:kern w:val="0"/>
          <w14:ligatures w14:val="none"/>
        </w:rPr>
      </w:pPr>
      <w:r w:rsidRPr="00A9541E">
        <w:rPr>
          <w:rFonts w:ascii="Segoe UI" w:eastAsia="Times New Roman" w:hAnsi="Segoe UI" w:cs="Segoe UI"/>
          <w:color w:val="222222"/>
          <w:kern w:val="0"/>
          <w14:ligatures w14:val="none"/>
        </w:rPr>
        <w:t>Under these plans, partnerships with assets over $10 million will also see audit rates increase tenfold by 2026. This ramp-up in audits is part of the IRS’s broader strategy, funded by the Inflation Reduction Act, to target wealthier entities and high-dollar noncompliance.</w:t>
      </w:r>
    </w:p>
    <w:p w14:paraId="3463D0F5" w14:textId="77777777" w:rsidR="00A9541E" w:rsidRPr="00A9541E" w:rsidRDefault="00A9541E" w:rsidP="00A9541E">
      <w:pPr>
        <w:shd w:val="clear" w:color="auto" w:fill="FFFFFF"/>
        <w:spacing w:after="100" w:afterAutospacing="1" w:line="240" w:lineRule="auto"/>
        <w:rPr>
          <w:rFonts w:ascii="Segoe UI" w:eastAsia="Times New Roman" w:hAnsi="Segoe UI" w:cs="Segoe UI"/>
          <w:color w:val="222222"/>
          <w:kern w:val="0"/>
          <w14:ligatures w14:val="none"/>
        </w:rPr>
      </w:pPr>
      <w:r w:rsidRPr="00A9541E">
        <w:rPr>
          <w:rFonts w:ascii="Segoe UI" w:eastAsia="Times New Roman" w:hAnsi="Segoe UI" w:cs="Segoe UI"/>
          <w:b/>
          <w:bCs/>
          <w:color w:val="21697F"/>
          <w:kern w:val="0"/>
          <w14:ligatures w14:val="none"/>
        </w:rPr>
        <w:t xml:space="preserve">The IRS doesn’t plan to increase audits for individuals making less than $400,000 annually. Small businesses are also unlikely to see a rise in audit rates in the near future, as the IRS is prioritizing more complex returns for </w:t>
      </w:r>
      <w:proofErr w:type="gramStart"/>
      <w:r w:rsidRPr="00A9541E">
        <w:rPr>
          <w:rFonts w:ascii="Segoe UI" w:eastAsia="Times New Roman" w:hAnsi="Segoe UI" w:cs="Segoe UI"/>
          <w:b/>
          <w:bCs/>
          <w:color w:val="21697F"/>
          <w:kern w:val="0"/>
          <w14:ligatures w14:val="none"/>
        </w:rPr>
        <w:t>higher-wealth</w:t>
      </w:r>
      <w:proofErr w:type="gramEnd"/>
      <w:r w:rsidRPr="00A9541E">
        <w:rPr>
          <w:rFonts w:ascii="Segoe UI" w:eastAsia="Times New Roman" w:hAnsi="Segoe UI" w:cs="Segoe UI"/>
          <w:b/>
          <w:bCs/>
          <w:color w:val="21697F"/>
          <w:kern w:val="0"/>
          <w14:ligatures w14:val="none"/>
        </w:rPr>
        <w:t xml:space="preserve"> entities.</w:t>
      </w:r>
      <w:r w:rsidRPr="00A9541E">
        <w:rPr>
          <w:rFonts w:ascii="Segoe UI" w:eastAsia="Times New Roman" w:hAnsi="Segoe UI" w:cs="Segoe UI"/>
          <w:color w:val="222222"/>
          <w:kern w:val="0"/>
          <w14:ligatures w14:val="none"/>
        </w:rPr>
        <w:t> For example, the tax agency has announced that one focus area is taxpayers who personally use business aircraft. A business can deduct the cost of purchasing and using corporate planes, but personal trips, including vacation travel, aren’t deductible.</w:t>
      </w:r>
    </w:p>
    <w:p w14:paraId="74540890" w14:textId="77777777" w:rsidR="00A9541E" w:rsidRPr="00A9541E" w:rsidRDefault="00A9541E" w:rsidP="00A9541E">
      <w:pPr>
        <w:shd w:val="clear" w:color="auto" w:fill="FFFFFF"/>
        <w:spacing w:before="100" w:beforeAutospacing="1" w:after="100" w:afterAutospacing="1" w:line="240" w:lineRule="auto"/>
        <w:outlineLvl w:val="1"/>
        <w:rPr>
          <w:rFonts w:ascii="inherit" w:eastAsia="Times New Roman" w:hAnsi="inherit" w:cs="Segoe UI"/>
          <w:color w:val="337FA6"/>
          <w:kern w:val="0"/>
          <w:sz w:val="36"/>
          <w:szCs w:val="36"/>
          <w14:ligatures w14:val="none"/>
        </w:rPr>
      </w:pPr>
      <w:r w:rsidRPr="00A9541E">
        <w:rPr>
          <w:rFonts w:ascii="inherit" w:eastAsia="Times New Roman" w:hAnsi="inherit" w:cs="Segoe UI"/>
          <w:color w:val="337FA6"/>
          <w:kern w:val="0"/>
          <w:sz w:val="36"/>
          <w:szCs w:val="36"/>
          <w14:ligatures w14:val="none"/>
        </w:rPr>
        <w:lastRenderedPageBreak/>
        <w:t>Preparation is key</w:t>
      </w:r>
    </w:p>
    <w:p w14:paraId="56D97A0B" w14:textId="77777777" w:rsidR="00A9541E" w:rsidRPr="00A9541E" w:rsidRDefault="00A9541E" w:rsidP="00A9541E">
      <w:pPr>
        <w:shd w:val="clear" w:color="auto" w:fill="FFFFFF"/>
        <w:spacing w:after="100" w:afterAutospacing="1" w:line="240" w:lineRule="auto"/>
        <w:rPr>
          <w:rFonts w:ascii="Segoe UI" w:eastAsia="Times New Roman" w:hAnsi="Segoe UI" w:cs="Segoe UI"/>
          <w:color w:val="21697F"/>
          <w:kern w:val="0"/>
          <w14:ligatures w14:val="none"/>
        </w:rPr>
      </w:pPr>
      <w:r w:rsidRPr="00A9541E">
        <w:rPr>
          <w:rFonts w:ascii="Segoe UI" w:eastAsia="Times New Roman" w:hAnsi="Segoe UI" w:cs="Segoe UI"/>
          <w:color w:val="21697F"/>
          <w:kern w:val="0"/>
          <w14:ligatures w14:val="none"/>
        </w:rPr>
        <w:t>The best way to survive an IRS audit is to prepare in advance. On an ongoing basis, you should systematically maintain documentation — invoices, bills, canceled checks, receipts, or other proof — for all items to be reported on your tax returns. Keep all records in one place.</w:t>
      </w:r>
    </w:p>
    <w:p w14:paraId="702BCA0A" w14:textId="77777777" w:rsidR="00A9541E" w:rsidRPr="00A9541E" w:rsidRDefault="00A9541E" w:rsidP="00A9541E">
      <w:pPr>
        <w:shd w:val="clear" w:color="auto" w:fill="FFFFFF"/>
        <w:spacing w:after="100" w:afterAutospacing="1" w:line="240" w:lineRule="auto"/>
        <w:rPr>
          <w:rFonts w:ascii="Segoe UI" w:eastAsia="Times New Roman" w:hAnsi="Segoe UI" w:cs="Segoe UI"/>
          <w:color w:val="222222"/>
          <w:kern w:val="0"/>
          <w14:ligatures w14:val="none"/>
        </w:rPr>
      </w:pPr>
      <w:r w:rsidRPr="00A9541E">
        <w:rPr>
          <w:rFonts w:ascii="Segoe UI" w:eastAsia="Times New Roman" w:hAnsi="Segoe UI" w:cs="Segoe UI"/>
          <w:b/>
          <w:bCs/>
          <w:color w:val="666379"/>
          <w:kern w:val="0"/>
          <w14:ligatures w14:val="none"/>
        </w:rPr>
        <w:t>It also helps to know what might catch the attention of the IRS.</w:t>
      </w:r>
      <w:r w:rsidRPr="00A9541E">
        <w:rPr>
          <w:rFonts w:ascii="Segoe UI" w:eastAsia="Times New Roman" w:hAnsi="Segoe UI" w:cs="Segoe UI"/>
          <w:color w:val="222222"/>
          <w:kern w:val="0"/>
          <w14:ligatures w14:val="none"/>
        </w:rPr>
        <w:t> Certain types of tax return entries are known to involve inaccuracies, so they may lead to an audit. Some examples include:</w:t>
      </w:r>
    </w:p>
    <w:p w14:paraId="5AF2DDDD" w14:textId="77777777" w:rsidR="00A9541E" w:rsidRPr="00A9541E" w:rsidRDefault="00A9541E" w:rsidP="00A9541E">
      <w:pPr>
        <w:numPr>
          <w:ilvl w:val="0"/>
          <w:numId w:val="1"/>
        </w:numPr>
        <w:shd w:val="clear" w:color="auto" w:fill="FFFFFF"/>
        <w:spacing w:before="100" w:beforeAutospacing="1" w:after="45" w:line="240" w:lineRule="auto"/>
        <w:rPr>
          <w:rFonts w:ascii="Segoe UI" w:eastAsia="Times New Roman" w:hAnsi="Segoe UI" w:cs="Segoe UI"/>
          <w:b/>
          <w:bCs/>
          <w:color w:val="0076C0"/>
          <w:kern w:val="0"/>
          <w14:ligatures w14:val="none"/>
        </w:rPr>
      </w:pPr>
      <w:r w:rsidRPr="00A9541E">
        <w:rPr>
          <w:rFonts w:ascii="Segoe UI" w:eastAsia="Times New Roman" w:hAnsi="Segoe UI" w:cs="Segoe UI"/>
          <w:b/>
          <w:bCs/>
          <w:color w:val="169EBB"/>
          <w:kern w:val="0"/>
          <w14:ligatures w14:val="none"/>
        </w:rPr>
        <w:t>Significant inconsistencies between tax returns filed in the past and your most current return,</w:t>
      </w:r>
    </w:p>
    <w:p w14:paraId="3236476B" w14:textId="77777777" w:rsidR="00A9541E" w:rsidRPr="00A9541E" w:rsidRDefault="00A9541E" w:rsidP="00A9541E">
      <w:pPr>
        <w:numPr>
          <w:ilvl w:val="0"/>
          <w:numId w:val="1"/>
        </w:numPr>
        <w:shd w:val="clear" w:color="auto" w:fill="FFFFFF"/>
        <w:spacing w:before="100" w:beforeAutospacing="1" w:after="45" w:line="240" w:lineRule="auto"/>
        <w:rPr>
          <w:rFonts w:ascii="Segoe UI" w:eastAsia="Times New Roman" w:hAnsi="Segoe UI" w:cs="Segoe UI"/>
          <w:b/>
          <w:bCs/>
          <w:color w:val="0076C0"/>
          <w:kern w:val="0"/>
          <w14:ligatures w14:val="none"/>
        </w:rPr>
      </w:pPr>
      <w:r w:rsidRPr="00A9541E">
        <w:rPr>
          <w:rFonts w:ascii="Segoe UI" w:eastAsia="Times New Roman" w:hAnsi="Segoe UI" w:cs="Segoe UI"/>
          <w:b/>
          <w:bCs/>
          <w:color w:val="169EBB"/>
          <w:kern w:val="0"/>
          <w14:ligatures w14:val="none"/>
        </w:rPr>
        <w:t>Gross profit margin or expenses markedly different from those of other businesses in your industry, and</w:t>
      </w:r>
    </w:p>
    <w:p w14:paraId="675EAF6E" w14:textId="77777777" w:rsidR="00A9541E" w:rsidRPr="00A9541E" w:rsidRDefault="00A9541E" w:rsidP="00A9541E">
      <w:pPr>
        <w:numPr>
          <w:ilvl w:val="0"/>
          <w:numId w:val="1"/>
        </w:numPr>
        <w:shd w:val="clear" w:color="auto" w:fill="FFFFFF"/>
        <w:spacing w:before="100" w:beforeAutospacing="1" w:after="45" w:line="240" w:lineRule="auto"/>
        <w:rPr>
          <w:rFonts w:ascii="Segoe UI" w:eastAsia="Times New Roman" w:hAnsi="Segoe UI" w:cs="Segoe UI"/>
          <w:b/>
          <w:bCs/>
          <w:color w:val="0076C0"/>
          <w:kern w:val="0"/>
          <w14:ligatures w14:val="none"/>
        </w:rPr>
      </w:pPr>
      <w:r w:rsidRPr="00A9541E">
        <w:rPr>
          <w:rFonts w:ascii="Segoe UI" w:eastAsia="Times New Roman" w:hAnsi="Segoe UI" w:cs="Segoe UI"/>
          <w:b/>
          <w:bCs/>
          <w:color w:val="169EBB"/>
          <w:kern w:val="0"/>
          <w14:ligatures w14:val="none"/>
        </w:rPr>
        <w:t>Miscalculated or unusually high deductions.</w:t>
      </w:r>
    </w:p>
    <w:p w14:paraId="367D0DD1" w14:textId="77777777" w:rsidR="00A9541E" w:rsidRPr="00A9541E" w:rsidRDefault="00A9541E" w:rsidP="00A9541E">
      <w:pPr>
        <w:shd w:val="clear" w:color="auto" w:fill="FFFFFF"/>
        <w:spacing w:before="360" w:after="100" w:afterAutospacing="1" w:line="240" w:lineRule="auto"/>
        <w:rPr>
          <w:rFonts w:ascii="Segoe UI" w:eastAsia="Times New Roman" w:hAnsi="Segoe UI" w:cs="Segoe UI"/>
          <w:color w:val="222222"/>
          <w:kern w:val="0"/>
          <w14:ligatures w14:val="none"/>
        </w:rPr>
      </w:pPr>
      <w:r w:rsidRPr="00A9541E">
        <w:rPr>
          <w:rFonts w:ascii="Segoe UI" w:eastAsia="Times New Roman" w:hAnsi="Segoe UI" w:cs="Segoe UI"/>
          <w:color w:val="222222"/>
          <w:kern w:val="0"/>
          <w14:ligatures w14:val="none"/>
        </w:rPr>
        <w:t xml:space="preserve">The IRS may question specific deductions because there </w:t>
      </w:r>
      <w:proofErr w:type="gramStart"/>
      <w:r w:rsidRPr="00A9541E">
        <w:rPr>
          <w:rFonts w:ascii="Segoe UI" w:eastAsia="Times New Roman" w:hAnsi="Segoe UI" w:cs="Segoe UI"/>
          <w:color w:val="222222"/>
          <w:kern w:val="0"/>
          <w14:ligatures w14:val="none"/>
        </w:rPr>
        <w:t>are</w:t>
      </w:r>
      <w:proofErr w:type="gramEnd"/>
      <w:r w:rsidRPr="00A9541E">
        <w:rPr>
          <w:rFonts w:ascii="Segoe UI" w:eastAsia="Times New Roman" w:hAnsi="Segoe UI" w:cs="Segoe UI"/>
          <w:color w:val="222222"/>
          <w:kern w:val="0"/>
          <w14:ligatures w14:val="none"/>
        </w:rPr>
        <w:t xml:space="preserve"> strict recordkeeping requirements associated with them — for example, auto and travel expense deductions. In addition, an owner-employee’s salary that’s much higher or lower than those at similar companies in his or her location may catch the IRS’s eye, especially if the business is structured as a corporation.</w:t>
      </w:r>
    </w:p>
    <w:p w14:paraId="7687D241" w14:textId="77777777" w:rsidR="00A9541E" w:rsidRPr="00A9541E" w:rsidRDefault="00A9541E" w:rsidP="00A9541E">
      <w:pPr>
        <w:shd w:val="clear" w:color="auto" w:fill="FFFFFF"/>
        <w:spacing w:before="100" w:beforeAutospacing="1" w:after="100" w:afterAutospacing="1" w:line="240" w:lineRule="auto"/>
        <w:outlineLvl w:val="1"/>
        <w:rPr>
          <w:rFonts w:ascii="inherit" w:eastAsia="Times New Roman" w:hAnsi="inherit" w:cs="Segoe UI"/>
          <w:color w:val="337FA6"/>
          <w:kern w:val="0"/>
          <w:sz w:val="36"/>
          <w:szCs w:val="36"/>
          <w14:ligatures w14:val="none"/>
        </w:rPr>
      </w:pPr>
      <w:r w:rsidRPr="00A9541E">
        <w:rPr>
          <w:rFonts w:ascii="inherit" w:eastAsia="Times New Roman" w:hAnsi="inherit" w:cs="Segoe UI"/>
          <w:color w:val="337FA6"/>
          <w:kern w:val="0"/>
          <w:sz w:val="36"/>
          <w:szCs w:val="36"/>
          <w14:ligatures w14:val="none"/>
        </w:rPr>
        <w:t>How to respond to an audit</w:t>
      </w:r>
    </w:p>
    <w:p w14:paraId="539A04D1" w14:textId="77777777" w:rsidR="00A9541E" w:rsidRPr="00A9541E" w:rsidRDefault="00A9541E" w:rsidP="00A9541E">
      <w:pPr>
        <w:shd w:val="clear" w:color="auto" w:fill="FFFFFF"/>
        <w:spacing w:after="100" w:afterAutospacing="1" w:line="240" w:lineRule="auto"/>
        <w:rPr>
          <w:rFonts w:ascii="Segoe UI" w:eastAsia="Times New Roman" w:hAnsi="Segoe UI" w:cs="Segoe UI"/>
          <w:color w:val="222222"/>
          <w:kern w:val="0"/>
          <w14:ligatures w14:val="none"/>
        </w:rPr>
      </w:pPr>
      <w:r w:rsidRPr="00A9541E">
        <w:rPr>
          <w:rFonts w:ascii="Segoe UI" w:eastAsia="Times New Roman" w:hAnsi="Segoe UI" w:cs="Segoe UI"/>
          <w:i/>
          <w:iCs/>
          <w:color w:val="222222"/>
          <w:kern w:val="0"/>
          <w14:ligatures w14:val="none"/>
        </w:rPr>
        <w:t>If the IRS selects you for an audit, it will notify you by letter.</w:t>
      </w:r>
      <w:r w:rsidRPr="00A9541E">
        <w:rPr>
          <w:rFonts w:ascii="Segoe UI" w:eastAsia="Times New Roman" w:hAnsi="Segoe UI" w:cs="Segoe UI"/>
          <w:color w:val="222222"/>
          <w:kern w:val="0"/>
          <w14:ligatures w14:val="none"/>
        </w:rPr>
        <w:t> Generally, the IRS doesn’t make initial contact by phone. But if there’s no response to the letter, the agency may follow up with a call.</w:t>
      </w:r>
    </w:p>
    <w:p w14:paraId="56B7B3D8" w14:textId="77777777" w:rsidR="00A9541E" w:rsidRPr="00A9541E" w:rsidRDefault="00A9541E" w:rsidP="00A9541E">
      <w:pPr>
        <w:shd w:val="clear" w:color="auto" w:fill="FFFFFF"/>
        <w:spacing w:after="0" w:line="240" w:lineRule="auto"/>
        <w:rPr>
          <w:rFonts w:ascii="Segoe UI" w:eastAsia="Times New Roman" w:hAnsi="Segoe UI" w:cs="Segoe UI"/>
          <w:color w:val="21697F"/>
          <w:kern w:val="0"/>
          <w14:ligatures w14:val="none"/>
        </w:rPr>
      </w:pPr>
      <w:r w:rsidRPr="00A9541E">
        <w:rPr>
          <w:rFonts w:ascii="Segoe UI" w:eastAsia="Times New Roman" w:hAnsi="Segoe UI" w:cs="Segoe UI"/>
          <w:b/>
          <w:bCs/>
          <w:color w:val="21697F"/>
          <w:kern w:val="0"/>
          <w14:ligatures w14:val="none"/>
        </w:rPr>
        <w:t>Many audits simply request that you mail in receipts or other documentation to support certain deductions you’ve claimed. Only the strictest version, the field audit, requires a meeting with one or more IRS auditors.</w:t>
      </w:r>
      <w:r w:rsidRPr="00A9541E">
        <w:rPr>
          <w:rFonts w:ascii="Segoe UI" w:eastAsia="Times New Roman" w:hAnsi="Segoe UI" w:cs="Segoe UI"/>
          <w:color w:val="21697F"/>
          <w:kern w:val="0"/>
          <w14:ligatures w14:val="none"/>
        </w:rPr>
        <w:t> (Note: Ignore unsolicited emails or text messages about an audit. The IRS doesn’t contact people in this manner. These are scams.)</w:t>
      </w:r>
    </w:p>
    <w:p w14:paraId="607B5137" w14:textId="77777777" w:rsidR="00A9541E" w:rsidRPr="00A9541E" w:rsidRDefault="00A9541E" w:rsidP="00A9541E">
      <w:pPr>
        <w:shd w:val="clear" w:color="auto" w:fill="FFFFFF"/>
        <w:spacing w:before="360" w:after="100" w:afterAutospacing="1" w:line="240" w:lineRule="auto"/>
        <w:rPr>
          <w:rFonts w:ascii="Segoe UI" w:eastAsia="Times New Roman" w:hAnsi="Segoe UI" w:cs="Segoe UI"/>
          <w:color w:val="222222"/>
          <w:kern w:val="0"/>
          <w14:ligatures w14:val="none"/>
        </w:rPr>
      </w:pPr>
      <w:r w:rsidRPr="00A9541E">
        <w:rPr>
          <w:rFonts w:ascii="Segoe UI" w:eastAsia="Times New Roman" w:hAnsi="Segoe UI" w:cs="Segoe UI"/>
          <w:color w:val="222222"/>
          <w:kern w:val="0"/>
          <w14:ligatures w14:val="none"/>
        </w:rPr>
        <w:t>The tax agency doesn’t demand an immediate response to a mailed notice. The IRS will inform you of the discrepancies in question and give you time to prepare. Collect and organize all relevant income and expense records. If anything is missing, you’ll have to reconstruct the information as accurately as possible based on other documentation.</w:t>
      </w:r>
    </w:p>
    <w:p w14:paraId="75E78C76" w14:textId="77777777" w:rsidR="00A9541E" w:rsidRPr="00A9541E" w:rsidRDefault="00A9541E" w:rsidP="00A9541E">
      <w:pPr>
        <w:shd w:val="clear" w:color="auto" w:fill="FFFFFF"/>
        <w:spacing w:after="100" w:afterAutospacing="1" w:line="240" w:lineRule="auto"/>
        <w:rPr>
          <w:rFonts w:ascii="Segoe UI" w:eastAsia="Times New Roman" w:hAnsi="Segoe UI" w:cs="Segoe UI"/>
          <w:color w:val="40869C"/>
          <w:kern w:val="0"/>
          <w14:ligatures w14:val="none"/>
        </w:rPr>
      </w:pPr>
      <w:r w:rsidRPr="00A9541E">
        <w:rPr>
          <w:rFonts w:ascii="Segoe UI" w:eastAsia="Times New Roman" w:hAnsi="Segoe UI" w:cs="Segoe UI"/>
          <w:i/>
          <w:iCs/>
          <w:color w:val="40869C"/>
          <w:kern w:val="0"/>
          <w14:ligatures w14:val="none"/>
        </w:rPr>
        <w:lastRenderedPageBreak/>
        <w:t>If you’re audited, our firm can help you:</w:t>
      </w:r>
    </w:p>
    <w:p w14:paraId="4F0470C5" w14:textId="77777777" w:rsidR="00A9541E" w:rsidRPr="00A9541E" w:rsidRDefault="00A9541E" w:rsidP="00A9541E">
      <w:pPr>
        <w:numPr>
          <w:ilvl w:val="0"/>
          <w:numId w:val="2"/>
        </w:numPr>
        <w:shd w:val="clear" w:color="auto" w:fill="FFFFFF"/>
        <w:spacing w:before="100" w:beforeAutospacing="1" w:after="45" w:line="240" w:lineRule="auto"/>
        <w:rPr>
          <w:rFonts w:ascii="Segoe UI" w:eastAsia="Times New Roman" w:hAnsi="Segoe UI" w:cs="Segoe UI"/>
          <w:b/>
          <w:bCs/>
          <w:color w:val="0076C0"/>
          <w:kern w:val="0"/>
          <w14:ligatures w14:val="none"/>
        </w:rPr>
      </w:pPr>
      <w:r w:rsidRPr="00A9541E">
        <w:rPr>
          <w:rFonts w:ascii="Segoe UI" w:eastAsia="Times New Roman" w:hAnsi="Segoe UI" w:cs="Segoe UI"/>
          <w:b/>
          <w:bCs/>
          <w:color w:val="169EBB"/>
          <w:kern w:val="0"/>
          <w14:ligatures w14:val="none"/>
        </w:rPr>
        <w:t>Understand what the IRS is disputing (it’s not always clear),</w:t>
      </w:r>
    </w:p>
    <w:p w14:paraId="7867109A" w14:textId="77777777" w:rsidR="00A9541E" w:rsidRPr="00A9541E" w:rsidRDefault="00A9541E" w:rsidP="00A9541E">
      <w:pPr>
        <w:numPr>
          <w:ilvl w:val="0"/>
          <w:numId w:val="2"/>
        </w:numPr>
        <w:shd w:val="clear" w:color="auto" w:fill="FFFFFF"/>
        <w:spacing w:before="100" w:beforeAutospacing="1" w:after="45" w:line="240" w:lineRule="auto"/>
        <w:rPr>
          <w:rFonts w:ascii="Segoe UI" w:eastAsia="Times New Roman" w:hAnsi="Segoe UI" w:cs="Segoe UI"/>
          <w:b/>
          <w:bCs/>
          <w:color w:val="0076C0"/>
          <w:kern w:val="0"/>
          <w14:ligatures w14:val="none"/>
        </w:rPr>
      </w:pPr>
      <w:r w:rsidRPr="00A9541E">
        <w:rPr>
          <w:rFonts w:ascii="Segoe UI" w:eastAsia="Times New Roman" w:hAnsi="Segoe UI" w:cs="Segoe UI"/>
          <w:b/>
          <w:bCs/>
          <w:color w:val="169EBB"/>
          <w:kern w:val="0"/>
          <w14:ligatures w14:val="none"/>
        </w:rPr>
        <w:t>Gather the specific documents and information needed, and</w:t>
      </w:r>
    </w:p>
    <w:p w14:paraId="24F4D863" w14:textId="77777777" w:rsidR="00A9541E" w:rsidRPr="00A9541E" w:rsidRDefault="00A9541E" w:rsidP="00A9541E">
      <w:pPr>
        <w:numPr>
          <w:ilvl w:val="0"/>
          <w:numId w:val="2"/>
        </w:numPr>
        <w:shd w:val="clear" w:color="auto" w:fill="FFFFFF"/>
        <w:spacing w:before="100" w:beforeAutospacing="1" w:after="45" w:line="240" w:lineRule="auto"/>
        <w:rPr>
          <w:rFonts w:ascii="Segoe UI" w:eastAsia="Times New Roman" w:hAnsi="Segoe UI" w:cs="Segoe UI"/>
          <w:b/>
          <w:bCs/>
          <w:color w:val="0076C0"/>
          <w:kern w:val="0"/>
          <w14:ligatures w14:val="none"/>
        </w:rPr>
      </w:pPr>
      <w:r w:rsidRPr="00A9541E">
        <w:rPr>
          <w:rFonts w:ascii="Segoe UI" w:eastAsia="Times New Roman" w:hAnsi="Segoe UI" w:cs="Segoe UI"/>
          <w:b/>
          <w:bCs/>
          <w:color w:val="169EBB"/>
          <w:kern w:val="0"/>
          <w14:ligatures w14:val="none"/>
        </w:rPr>
        <w:t>Respond to the auditor’s inquiries in the most effective manner.</w:t>
      </w:r>
    </w:p>
    <w:p w14:paraId="601E0BEE" w14:textId="77777777" w:rsidR="00A9541E" w:rsidRPr="00A9541E" w:rsidRDefault="00A9541E" w:rsidP="00A9541E">
      <w:pPr>
        <w:shd w:val="clear" w:color="auto" w:fill="FFFFFF"/>
        <w:spacing w:before="360" w:after="100" w:afterAutospacing="1" w:line="240" w:lineRule="auto"/>
        <w:rPr>
          <w:rFonts w:ascii="Segoe UI" w:eastAsia="Times New Roman" w:hAnsi="Segoe UI" w:cs="Segoe UI"/>
          <w:color w:val="222222"/>
          <w:kern w:val="0"/>
          <w14:ligatures w14:val="none"/>
        </w:rPr>
      </w:pPr>
      <w:r w:rsidRPr="00A9541E">
        <w:rPr>
          <w:rFonts w:ascii="Segoe UI" w:eastAsia="Times New Roman" w:hAnsi="Segoe UI" w:cs="Segoe UI"/>
          <w:color w:val="222222"/>
          <w:kern w:val="0"/>
          <w14:ligatures w14:val="none"/>
        </w:rPr>
        <w:t>The IRS usually has three years to conduct an audit, and it probably won’t begin until a year or more after you file a return. Stay calm if the IRS contacts you. Many audits are routine. By taking a meticulous, proactive approach to tracking, documenting and filing your company’s tax-related information, you’ll make an audit more manageable. It may even decrease the chances you’ll be chosen in the first place.</w:t>
      </w:r>
    </w:p>
    <w:p w14:paraId="2C03532C" w14:textId="77777777" w:rsidR="00A9541E" w:rsidRDefault="00A9541E"/>
    <w:sectPr w:rsidR="00A954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A07A6"/>
    <w:multiLevelType w:val="multilevel"/>
    <w:tmpl w:val="148E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816E2"/>
    <w:multiLevelType w:val="multilevel"/>
    <w:tmpl w:val="11182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1752672">
    <w:abstractNumId w:val="1"/>
  </w:num>
  <w:num w:numId="2" w16cid:durableId="909461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41E"/>
    <w:rsid w:val="00405FE4"/>
    <w:rsid w:val="00A95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D52B6"/>
  <w15:chartTrackingRefBased/>
  <w15:docId w15:val="{898F4108-2EC0-4062-A713-2369A459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54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54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54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54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54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54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54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54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54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4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54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54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54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54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54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54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54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541E"/>
    <w:rPr>
      <w:rFonts w:eastAsiaTheme="majorEastAsia" w:cstheme="majorBidi"/>
      <w:color w:val="272727" w:themeColor="text1" w:themeTint="D8"/>
    </w:rPr>
  </w:style>
  <w:style w:type="paragraph" w:styleId="Title">
    <w:name w:val="Title"/>
    <w:basedOn w:val="Normal"/>
    <w:next w:val="Normal"/>
    <w:link w:val="TitleChar"/>
    <w:uiPriority w:val="10"/>
    <w:qFormat/>
    <w:rsid w:val="00A954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4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4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54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41E"/>
    <w:pPr>
      <w:spacing w:before="160"/>
      <w:jc w:val="center"/>
    </w:pPr>
    <w:rPr>
      <w:i/>
      <w:iCs/>
      <w:color w:val="404040" w:themeColor="text1" w:themeTint="BF"/>
    </w:rPr>
  </w:style>
  <w:style w:type="character" w:customStyle="1" w:styleId="QuoteChar">
    <w:name w:val="Quote Char"/>
    <w:basedOn w:val="DefaultParagraphFont"/>
    <w:link w:val="Quote"/>
    <w:uiPriority w:val="29"/>
    <w:rsid w:val="00A9541E"/>
    <w:rPr>
      <w:i/>
      <w:iCs/>
      <w:color w:val="404040" w:themeColor="text1" w:themeTint="BF"/>
    </w:rPr>
  </w:style>
  <w:style w:type="paragraph" w:styleId="ListParagraph">
    <w:name w:val="List Paragraph"/>
    <w:basedOn w:val="Normal"/>
    <w:uiPriority w:val="34"/>
    <w:qFormat/>
    <w:rsid w:val="00A9541E"/>
    <w:pPr>
      <w:ind w:left="720"/>
      <w:contextualSpacing/>
    </w:pPr>
  </w:style>
  <w:style w:type="character" w:styleId="IntenseEmphasis">
    <w:name w:val="Intense Emphasis"/>
    <w:basedOn w:val="DefaultParagraphFont"/>
    <w:uiPriority w:val="21"/>
    <w:qFormat/>
    <w:rsid w:val="00A9541E"/>
    <w:rPr>
      <w:i/>
      <w:iCs/>
      <w:color w:val="0F4761" w:themeColor="accent1" w:themeShade="BF"/>
    </w:rPr>
  </w:style>
  <w:style w:type="paragraph" w:styleId="IntenseQuote">
    <w:name w:val="Intense Quote"/>
    <w:basedOn w:val="Normal"/>
    <w:next w:val="Normal"/>
    <w:link w:val="IntenseQuoteChar"/>
    <w:uiPriority w:val="30"/>
    <w:qFormat/>
    <w:rsid w:val="00A954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541E"/>
    <w:rPr>
      <w:i/>
      <w:iCs/>
      <w:color w:val="0F4761" w:themeColor="accent1" w:themeShade="BF"/>
    </w:rPr>
  </w:style>
  <w:style w:type="character" w:styleId="IntenseReference">
    <w:name w:val="Intense Reference"/>
    <w:basedOn w:val="DefaultParagraphFont"/>
    <w:uiPriority w:val="32"/>
    <w:qFormat/>
    <w:rsid w:val="00A954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915176">
      <w:bodyDiv w:val="1"/>
      <w:marLeft w:val="0"/>
      <w:marRight w:val="0"/>
      <w:marTop w:val="0"/>
      <w:marBottom w:val="0"/>
      <w:divBdr>
        <w:top w:val="none" w:sz="0" w:space="0" w:color="auto"/>
        <w:left w:val="none" w:sz="0" w:space="0" w:color="auto"/>
        <w:bottom w:val="none" w:sz="0" w:space="0" w:color="auto"/>
        <w:right w:val="none" w:sz="0" w:space="0" w:color="auto"/>
      </w:divBdr>
      <w:divsChild>
        <w:div w:id="1353341442">
          <w:marLeft w:val="0"/>
          <w:marRight w:val="0"/>
          <w:marTop w:val="0"/>
          <w:marBottom w:val="0"/>
          <w:divBdr>
            <w:top w:val="none" w:sz="0" w:space="0" w:color="auto"/>
            <w:left w:val="none" w:sz="0" w:space="0" w:color="auto"/>
            <w:bottom w:val="none" w:sz="0" w:space="0" w:color="auto"/>
            <w:right w:val="none" w:sz="0" w:space="0" w:color="auto"/>
          </w:divBdr>
          <w:divsChild>
            <w:div w:id="276523079">
              <w:marLeft w:val="0"/>
              <w:marRight w:val="0"/>
              <w:marTop w:val="0"/>
              <w:marBottom w:val="0"/>
              <w:divBdr>
                <w:top w:val="none" w:sz="0" w:space="0" w:color="auto"/>
                <w:left w:val="single" w:sz="36" w:space="12" w:color="ECEDED"/>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denver.cp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1</cp:revision>
  <dcterms:created xsi:type="dcterms:W3CDTF">2024-10-17T16:13:00Z</dcterms:created>
  <dcterms:modified xsi:type="dcterms:W3CDTF">2024-10-17T16:13:00Z</dcterms:modified>
</cp:coreProperties>
</file>