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E243" w14:textId="77777777" w:rsidR="00D43767" w:rsidRDefault="00D43767" w:rsidP="00D43767">
      <w:pPr>
        <w:rPr>
          <w:rFonts w:ascii="Tahoma" w:hAnsi="Tahoma" w:cs="Tahoma"/>
        </w:rPr>
      </w:pPr>
      <w:r>
        <w:rPr>
          <w:rFonts w:ascii="Tahoma" w:hAnsi="Tahoma" w:cs="Tahoma"/>
        </w:rPr>
        <w:t>I have brought this issue up before and it didn’t go anywhere.  I am hoping with the new regime changes, everyone will see the need for this change and forward through the chain of command until it reaches someone that can resolve the issue.</w:t>
      </w:r>
    </w:p>
    <w:p w14:paraId="5E92F14A" w14:textId="77777777" w:rsidR="00D43767" w:rsidRDefault="00D43767" w:rsidP="00D43767">
      <w:pPr>
        <w:rPr>
          <w:rFonts w:ascii="Tahoma" w:hAnsi="Tahoma" w:cs="Tahoma"/>
        </w:rPr>
      </w:pPr>
    </w:p>
    <w:p w14:paraId="463F92A0" w14:textId="77777777" w:rsidR="00D43767" w:rsidRDefault="00D43767" w:rsidP="00D43767">
      <w:pPr>
        <w:rPr>
          <w:rFonts w:ascii="Tahoma" w:hAnsi="Tahoma" w:cs="Tahoma"/>
        </w:rPr>
      </w:pPr>
      <w:r>
        <w:rPr>
          <w:rFonts w:ascii="Tahoma" w:hAnsi="Tahoma" w:cs="Tahoma"/>
        </w:rPr>
        <w:t>I have two cases assigned that I believe should not be in SBSE.  Granted, I have closed some of these related cases in the past, but it was nothing more than a “band-aid” so I could close my case.  Other RO’s in our group and I am sure other groups as well, have done the same thing.  The problem is we in SBSE are simply not equipped to handle these cases.</w:t>
      </w:r>
    </w:p>
    <w:p w14:paraId="0FE8EFCD" w14:textId="77777777" w:rsidR="00D43767" w:rsidRDefault="00D43767" w:rsidP="00D43767">
      <w:pPr>
        <w:rPr>
          <w:rFonts w:ascii="Tahoma" w:hAnsi="Tahoma" w:cs="Tahoma"/>
        </w:rPr>
      </w:pPr>
    </w:p>
    <w:p w14:paraId="76443F9F" w14:textId="77777777" w:rsidR="00D43767" w:rsidRDefault="00D43767" w:rsidP="00D43767">
      <w:pPr>
        <w:rPr>
          <w:rFonts w:ascii="Tahoma" w:hAnsi="Tahoma" w:cs="Tahoma"/>
        </w:rPr>
      </w:pPr>
      <w:r>
        <w:rPr>
          <w:rFonts w:ascii="Tahoma" w:hAnsi="Tahoma" w:cs="Tahoma"/>
        </w:rPr>
        <w:t xml:space="preserve">According to the IRM, SBSE handles cases of businesses with assets under $10 million </w:t>
      </w:r>
      <w:hyperlink w:anchor="SBSE" w:history="1">
        <w:r>
          <w:rPr>
            <w:rStyle w:val="Hyperlink"/>
            <w:rFonts w:ascii="Tahoma" w:hAnsi="Tahoma" w:cs="Tahoma"/>
            <w:vertAlign w:val="superscript"/>
          </w:rPr>
          <w:t>*5</w:t>
        </w:r>
      </w:hyperlink>
      <w:r>
        <w:rPr>
          <w:rFonts w:ascii="Tahoma" w:hAnsi="Tahoma" w:cs="Tahoma"/>
        </w:rPr>
        <w:t xml:space="preserve">.  LBI handles businesses with assets over $10 million </w:t>
      </w:r>
      <w:hyperlink w:anchor="LBI" w:history="1">
        <w:r>
          <w:rPr>
            <w:rStyle w:val="Hyperlink"/>
            <w:rFonts w:ascii="Tahoma" w:hAnsi="Tahoma" w:cs="Tahoma"/>
            <w:vertAlign w:val="superscript"/>
          </w:rPr>
          <w:t>*6</w:t>
        </w:r>
      </w:hyperlink>
      <w:r>
        <w:rPr>
          <w:rFonts w:ascii="Tahoma" w:hAnsi="Tahoma" w:cs="Tahoma"/>
        </w:rPr>
        <w:t>.</w:t>
      </w:r>
    </w:p>
    <w:p w14:paraId="3349A0C9" w14:textId="77777777" w:rsidR="00D43767" w:rsidRDefault="00D43767" w:rsidP="00D43767">
      <w:pPr>
        <w:rPr>
          <w:rFonts w:ascii="Tahoma" w:hAnsi="Tahoma" w:cs="Tahoma"/>
        </w:rPr>
      </w:pPr>
    </w:p>
    <w:p w14:paraId="2AAA19C2" w14:textId="77777777" w:rsidR="00D43767" w:rsidRDefault="00D43767" w:rsidP="00D43767">
      <w:pPr>
        <w:rPr>
          <w:rFonts w:ascii="Tahoma" w:hAnsi="Tahoma" w:cs="Tahoma"/>
        </w:rPr>
      </w:pPr>
      <w:r>
        <w:rPr>
          <w:rFonts w:ascii="Tahoma" w:hAnsi="Tahoma" w:cs="Tahoma"/>
        </w:rPr>
        <w:t>The companies we are getting assigned are in some form or fashion, subsidiaries of Marriott International, Inc., who in 2019 reported assets of $216,932,747,130</w:t>
      </w:r>
      <w:hyperlink w:anchor="Assets" w:history="1">
        <w:r>
          <w:rPr>
            <w:rStyle w:val="Hyperlink"/>
            <w:rFonts w:ascii="Tahoma" w:hAnsi="Tahoma" w:cs="Tahoma"/>
            <w:vertAlign w:val="superscript"/>
          </w:rPr>
          <w:t>*4</w:t>
        </w:r>
      </w:hyperlink>
      <w:r>
        <w:rPr>
          <w:rFonts w:ascii="Tahoma" w:hAnsi="Tahoma" w:cs="Tahoma"/>
        </w:rPr>
        <w:t xml:space="preserve"> or, </w:t>
      </w:r>
      <w:r>
        <w:rPr>
          <w:rFonts w:ascii="Tahoma" w:hAnsi="Tahoma" w:cs="Tahoma"/>
          <w:b/>
          <w:bCs/>
          <w:i/>
          <w:iCs/>
        </w:rPr>
        <w:t>20 times the amount to be classified as LBI</w:t>
      </w:r>
      <w:r>
        <w:rPr>
          <w:rFonts w:ascii="Tahoma" w:hAnsi="Tahoma" w:cs="Tahoma"/>
        </w:rPr>
        <w:t>.</w:t>
      </w:r>
    </w:p>
    <w:p w14:paraId="5AAB000A" w14:textId="77777777" w:rsidR="00D43767" w:rsidRDefault="00D43767" w:rsidP="00D43767">
      <w:pPr>
        <w:rPr>
          <w:rFonts w:ascii="Tahoma" w:hAnsi="Tahoma" w:cs="Tahoma"/>
        </w:rPr>
      </w:pPr>
      <w:r>
        <w:rPr>
          <w:rFonts w:ascii="Tahoma" w:hAnsi="Tahoma" w:cs="Tahoma"/>
        </w:rPr>
        <w:t xml:space="preserve">My case in points: </w:t>
      </w:r>
    </w:p>
    <w:p w14:paraId="6D2D744B" w14:textId="77777777" w:rsidR="00D43767" w:rsidRDefault="00D43767" w:rsidP="00D43767">
      <w:pPr>
        <w:pStyle w:val="NoSpacing"/>
        <w:numPr>
          <w:ilvl w:val="0"/>
          <w:numId w:val="1"/>
        </w:numPr>
        <w:rPr>
          <w:rFonts w:ascii="Tahoma" w:eastAsia="Times New Roman" w:hAnsi="Tahoma" w:cs="Tahoma"/>
        </w:rPr>
      </w:pPr>
      <w:r>
        <w:rPr>
          <w:rFonts w:ascii="Tahoma" w:eastAsia="Times New Roman" w:hAnsi="Tahoma" w:cs="Tahoma"/>
        </w:rPr>
        <w:t>On IDRS, the entities are all classified as “LM” (LBI</w:t>
      </w:r>
      <w:r>
        <w:rPr>
          <w:rFonts w:ascii="Tahoma" w:eastAsia="Times New Roman" w:hAnsi="Tahoma" w:cs="Tahoma"/>
          <w:vertAlign w:val="superscript"/>
        </w:rPr>
        <w:t xml:space="preserve">) </w:t>
      </w:r>
      <w:hyperlink w:anchor="ENMODA1" w:history="1">
        <w:r>
          <w:rPr>
            <w:rStyle w:val="Hyperlink"/>
            <w:rFonts w:ascii="Tahoma" w:eastAsia="Times New Roman" w:hAnsi="Tahoma" w:cs="Tahoma"/>
            <w:vertAlign w:val="superscript"/>
          </w:rPr>
          <w:t>*1</w:t>
        </w:r>
      </w:hyperlink>
      <w:r>
        <w:rPr>
          <w:rFonts w:ascii="Tahoma" w:eastAsia="Times New Roman" w:hAnsi="Tahoma" w:cs="Tahoma"/>
          <w:vertAlign w:val="superscript"/>
        </w:rPr>
        <w:t xml:space="preserve">, </w:t>
      </w:r>
      <w:hyperlink w:anchor="ENMODA2" w:history="1">
        <w:r>
          <w:rPr>
            <w:rStyle w:val="Hyperlink"/>
            <w:rFonts w:ascii="Tahoma" w:eastAsia="Times New Roman" w:hAnsi="Tahoma" w:cs="Tahoma"/>
            <w:vertAlign w:val="superscript"/>
          </w:rPr>
          <w:t>*1a</w:t>
        </w:r>
      </w:hyperlink>
      <w:r>
        <w:rPr>
          <w:rFonts w:ascii="Tahoma" w:eastAsia="Times New Roman" w:hAnsi="Tahoma" w:cs="Tahoma"/>
        </w:rPr>
        <w:t>.</w:t>
      </w:r>
    </w:p>
    <w:p w14:paraId="03D35A56" w14:textId="77777777" w:rsidR="00D43767" w:rsidRDefault="00D43767" w:rsidP="00D43767">
      <w:pPr>
        <w:pStyle w:val="NoSpacing"/>
        <w:numPr>
          <w:ilvl w:val="0"/>
          <w:numId w:val="1"/>
        </w:numPr>
        <w:rPr>
          <w:rFonts w:ascii="Tahoma" w:eastAsia="Times New Roman" w:hAnsi="Tahoma" w:cs="Tahoma"/>
        </w:rPr>
      </w:pPr>
      <w:r>
        <w:rPr>
          <w:rFonts w:ascii="Tahoma" w:eastAsia="Times New Roman" w:hAnsi="Tahoma" w:cs="Tahoma"/>
        </w:rPr>
        <w:t>On ICS, the entities are all classified as “LM” (LBI</w:t>
      </w:r>
      <w:proofErr w:type="gramStart"/>
      <w:r>
        <w:rPr>
          <w:rFonts w:ascii="Tahoma" w:eastAsia="Times New Roman" w:hAnsi="Tahoma" w:cs="Tahoma"/>
        </w:rPr>
        <w:t>)</w:t>
      </w:r>
      <w:r>
        <w:rPr>
          <w:rFonts w:ascii="Tahoma" w:eastAsia="Times New Roman" w:hAnsi="Tahoma" w:cs="Tahoma"/>
          <w:vertAlign w:val="superscript"/>
        </w:rPr>
        <w:t xml:space="preserve"> )</w:t>
      </w:r>
      <w:proofErr w:type="gramEnd"/>
      <w:r>
        <w:rPr>
          <w:rFonts w:ascii="Tahoma" w:eastAsia="Times New Roman" w:hAnsi="Tahoma" w:cs="Tahoma"/>
          <w:vertAlign w:val="superscript"/>
        </w:rPr>
        <w:t xml:space="preserve"> </w:t>
      </w:r>
      <w:hyperlink w:anchor="ICS1" w:history="1">
        <w:r>
          <w:rPr>
            <w:rStyle w:val="Hyperlink"/>
            <w:rFonts w:ascii="Tahoma" w:eastAsia="Times New Roman" w:hAnsi="Tahoma" w:cs="Tahoma"/>
            <w:vertAlign w:val="superscript"/>
          </w:rPr>
          <w:t>*2</w:t>
        </w:r>
      </w:hyperlink>
      <w:r>
        <w:rPr>
          <w:rFonts w:ascii="Tahoma" w:eastAsia="Times New Roman" w:hAnsi="Tahoma" w:cs="Tahoma"/>
          <w:vertAlign w:val="superscript"/>
        </w:rPr>
        <w:t xml:space="preserve">, </w:t>
      </w:r>
      <w:hyperlink w:anchor="ICS2" w:history="1">
        <w:r>
          <w:rPr>
            <w:rStyle w:val="Hyperlink"/>
            <w:rFonts w:ascii="Tahoma" w:eastAsia="Times New Roman" w:hAnsi="Tahoma" w:cs="Tahoma"/>
            <w:vertAlign w:val="superscript"/>
          </w:rPr>
          <w:t>*2a</w:t>
        </w:r>
      </w:hyperlink>
      <w:r>
        <w:rPr>
          <w:rFonts w:ascii="Tahoma" w:eastAsia="Times New Roman" w:hAnsi="Tahoma" w:cs="Tahoma"/>
        </w:rPr>
        <w:t>.</w:t>
      </w:r>
    </w:p>
    <w:p w14:paraId="5E3D36BC" w14:textId="77777777" w:rsidR="00D43767" w:rsidRDefault="00D43767" w:rsidP="00D43767">
      <w:pPr>
        <w:pStyle w:val="ListParagraph"/>
        <w:numPr>
          <w:ilvl w:val="0"/>
          <w:numId w:val="1"/>
        </w:numPr>
        <w:rPr>
          <w:rFonts w:ascii="Tahoma" w:eastAsia="Times New Roman" w:hAnsi="Tahoma" w:cs="Tahoma"/>
        </w:rPr>
      </w:pPr>
      <w:r>
        <w:rPr>
          <w:rFonts w:ascii="Tahoma" w:eastAsia="Times New Roman" w:hAnsi="Tahoma" w:cs="Tahoma"/>
        </w:rPr>
        <w:t>On correspondence to the taxpayers, the entities are all classified as “LM” (LBI</w:t>
      </w:r>
      <w:proofErr w:type="gramStart"/>
      <w:r>
        <w:rPr>
          <w:rFonts w:ascii="Tahoma" w:eastAsia="Times New Roman" w:hAnsi="Tahoma" w:cs="Tahoma"/>
        </w:rPr>
        <w:t>)</w:t>
      </w:r>
      <w:r>
        <w:rPr>
          <w:rFonts w:ascii="Tahoma" w:eastAsia="Times New Roman" w:hAnsi="Tahoma" w:cs="Tahoma"/>
          <w:vertAlign w:val="superscript"/>
        </w:rPr>
        <w:t xml:space="preserve"> )</w:t>
      </w:r>
      <w:proofErr w:type="gramEnd"/>
      <w:r>
        <w:rPr>
          <w:rFonts w:ascii="Tahoma" w:eastAsia="Times New Roman" w:hAnsi="Tahoma" w:cs="Tahoma"/>
          <w:vertAlign w:val="superscript"/>
        </w:rPr>
        <w:t xml:space="preserve"> </w:t>
      </w:r>
      <w:hyperlink w:anchor="Correspondence1" w:history="1">
        <w:r>
          <w:rPr>
            <w:rStyle w:val="Hyperlink"/>
            <w:rFonts w:ascii="Tahoma" w:eastAsia="Times New Roman" w:hAnsi="Tahoma" w:cs="Tahoma"/>
            <w:vertAlign w:val="superscript"/>
          </w:rPr>
          <w:t>*3</w:t>
        </w:r>
      </w:hyperlink>
      <w:r>
        <w:rPr>
          <w:rFonts w:ascii="Tahoma" w:eastAsia="Times New Roman" w:hAnsi="Tahoma" w:cs="Tahoma"/>
          <w:vertAlign w:val="superscript"/>
        </w:rPr>
        <w:t xml:space="preserve">, </w:t>
      </w:r>
      <w:hyperlink w:anchor="Correspondence2" w:history="1">
        <w:r>
          <w:rPr>
            <w:rStyle w:val="Hyperlink"/>
            <w:rFonts w:ascii="Tahoma" w:eastAsia="Times New Roman" w:hAnsi="Tahoma" w:cs="Tahoma"/>
            <w:vertAlign w:val="superscript"/>
          </w:rPr>
          <w:t>*3a</w:t>
        </w:r>
      </w:hyperlink>
      <w:r>
        <w:rPr>
          <w:rFonts w:ascii="Tahoma" w:eastAsia="Times New Roman" w:hAnsi="Tahoma" w:cs="Tahoma"/>
        </w:rPr>
        <w:t>.</w:t>
      </w:r>
    </w:p>
    <w:p w14:paraId="6D69AB8D" w14:textId="77777777" w:rsidR="00D43767" w:rsidRDefault="00D43767" w:rsidP="00D43767">
      <w:pPr>
        <w:pStyle w:val="ListParagraph"/>
        <w:numPr>
          <w:ilvl w:val="0"/>
          <w:numId w:val="1"/>
        </w:numPr>
        <w:rPr>
          <w:rFonts w:ascii="Tahoma" w:eastAsia="Times New Roman" w:hAnsi="Tahoma" w:cs="Tahoma"/>
        </w:rPr>
      </w:pPr>
      <w:r>
        <w:rPr>
          <w:rFonts w:ascii="Tahoma" w:eastAsia="Times New Roman" w:hAnsi="Tahoma" w:cs="Tahoma"/>
        </w:rPr>
        <w:t>According to definitions in IRM, TP is classified as “LM” (LBI</w:t>
      </w:r>
      <w:proofErr w:type="gramStart"/>
      <w:r>
        <w:rPr>
          <w:rFonts w:ascii="Tahoma" w:eastAsia="Times New Roman" w:hAnsi="Tahoma" w:cs="Tahoma"/>
        </w:rPr>
        <w:t>)</w:t>
      </w:r>
      <w:r>
        <w:rPr>
          <w:rFonts w:ascii="Tahoma" w:eastAsia="Times New Roman" w:hAnsi="Tahoma" w:cs="Tahoma"/>
          <w:vertAlign w:val="superscript"/>
        </w:rPr>
        <w:t xml:space="preserve"> )</w:t>
      </w:r>
      <w:proofErr w:type="gramEnd"/>
      <w:r>
        <w:rPr>
          <w:rFonts w:ascii="Tahoma" w:eastAsia="Times New Roman" w:hAnsi="Tahoma" w:cs="Tahoma"/>
          <w:vertAlign w:val="superscript"/>
        </w:rPr>
        <w:t xml:space="preserve"> </w:t>
      </w:r>
      <w:hyperlink w:anchor="SBSE" w:history="1">
        <w:r>
          <w:rPr>
            <w:rStyle w:val="Hyperlink"/>
            <w:rFonts w:ascii="Tahoma" w:eastAsia="Times New Roman" w:hAnsi="Tahoma" w:cs="Tahoma"/>
            <w:vertAlign w:val="superscript"/>
          </w:rPr>
          <w:t>*5</w:t>
        </w:r>
      </w:hyperlink>
      <w:r>
        <w:rPr>
          <w:rFonts w:ascii="Tahoma" w:eastAsia="Times New Roman" w:hAnsi="Tahoma" w:cs="Tahoma"/>
          <w:vertAlign w:val="superscript"/>
        </w:rPr>
        <w:t xml:space="preserve">, </w:t>
      </w:r>
      <w:hyperlink w:anchor="LBI" w:history="1">
        <w:r>
          <w:rPr>
            <w:rStyle w:val="Hyperlink"/>
            <w:rFonts w:ascii="Tahoma" w:eastAsia="Times New Roman" w:hAnsi="Tahoma" w:cs="Tahoma"/>
            <w:vertAlign w:val="superscript"/>
          </w:rPr>
          <w:t>*6</w:t>
        </w:r>
      </w:hyperlink>
    </w:p>
    <w:p w14:paraId="09E73796" w14:textId="77777777" w:rsidR="00D43767" w:rsidRDefault="00D43767" w:rsidP="00D43767">
      <w:pPr>
        <w:rPr>
          <w:rFonts w:ascii="Tahoma" w:hAnsi="Tahoma" w:cs="Tahoma"/>
        </w:rPr>
      </w:pPr>
      <w:r>
        <w:rPr>
          <w:rFonts w:ascii="Tahoma" w:hAnsi="Tahoma" w:cs="Tahoma"/>
        </w:rPr>
        <w:t>So, if every correspondence, database, software program and regulation classify the entities as LBI, why are grade 11 RO’s in SBSE getting assigned these cases?</w:t>
      </w:r>
    </w:p>
    <w:p w14:paraId="064C369C" w14:textId="77777777" w:rsidR="00D43767" w:rsidRDefault="00D43767" w:rsidP="00D43767">
      <w:pPr>
        <w:rPr>
          <w:rFonts w:ascii="Tahoma" w:hAnsi="Tahoma" w:cs="Tahoma"/>
        </w:rPr>
      </w:pPr>
    </w:p>
    <w:p w14:paraId="34D7AC3B" w14:textId="77777777" w:rsidR="00D43767" w:rsidRDefault="00D43767" w:rsidP="00D43767">
      <w:pPr>
        <w:rPr>
          <w:rFonts w:ascii="Tahoma" w:hAnsi="Tahoma" w:cs="Tahoma"/>
        </w:rPr>
      </w:pPr>
      <w:r>
        <w:rPr>
          <w:rFonts w:ascii="Tahoma" w:hAnsi="Tahoma" w:cs="Tahoma"/>
        </w:rPr>
        <w:t>We are not providing the taxpayers any measure of service by having their cases worked by people that are not equipped to do so.  We have failed the taxpayer.</w:t>
      </w:r>
    </w:p>
    <w:p w14:paraId="50F717B1" w14:textId="77777777" w:rsidR="00D43767" w:rsidRDefault="00D43767" w:rsidP="00D43767">
      <w:pPr>
        <w:rPr>
          <w:rFonts w:ascii="Tahoma" w:hAnsi="Tahoma" w:cs="Tahoma"/>
        </w:rPr>
      </w:pPr>
    </w:p>
    <w:p w14:paraId="3254CD59" w14:textId="77777777" w:rsidR="00D43767" w:rsidRDefault="00D43767" w:rsidP="00D43767">
      <w:pPr>
        <w:rPr>
          <w:rFonts w:ascii="Tahoma" w:hAnsi="Tahoma" w:cs="Tahoma"/>
        </w:rPr>
      </w:pPr>
      <w:r>
        <w:rPr>
          <w:rFonts w:ascii="Tahoma" w:hAnsi="Tahoma" w:cs="Tahoma"/>
        </w:rPr>
        <w:t>In addition, when we are assigned a case, we are required to verify cross compliance</w:t>
      </w:r>
      <w:hyperlink w:anchor="Compliance" w:history="1">
        <w:r>
          <w:rPr>
            <w:rStyle w:val="Hyperlink"/>
            <w:rFonts w:ascii="Tahoma" w:hAnsi="Tahoma" w:cs="Tahoma"/>
            <w:vertAlign w:val="superscript"/>
          </w:rPr>
          <w:t>*7</w:t>
        </w:r>
      </w:hyperlink>
      <w:r>
        <w:rPr>
          <w:rFonts w:ascii="Tahoma" w:hAnsi="Tahoma" w:cs="Tahoma"/>
        </w:rPr>
        <w:t xml:space="preserve">.  In these cases, that would require us to verify compliance on at least 117 different entities.  In randomly selecting 10 of those cases, 4 had issues which would require getting the case assigned to the RO.  While not likely, if that percentage held true, that would require the RO to request 46 more cases.  Even at 10% they would request 12 more cases.  </w:t>
      </w:r>
    </w:p>
    <w:p w14:paraId="7A56A652" w14:textId="77777777" w:rsidR="00D43767" w:rsidRDefault="00D43767" w:rsidP="00D43767">
      <w:pPr>
        <w:rPr>
          <w:rFonts w:ascii="Tahoma" w:hAnsi="Tahoma" w:cs="Tahoma"/>
        </w:rPr>
      </w:pPr>
    </w:p>
    <w:p w14:paraId="69379392" w14:textId="77777777" w:rsidR="00D43767" w:rsidRDefault="00D43767" w:rsidP="00D43767">
      <w:pPr>
        <w:rPr>
          <w:rFonts w:ascii="Tahoma" w:hAnsi="Tahoma" w:cs="Tahoma"/>
        </w:rPr>
      </w:pPr>
      <w:r>
        <w:rPr>
          <w:rFonts w:ascii="Tahoma" w:hAnsi="Tahoma" w:cs="Tahoma"/>
        </w:rPr>
        <w:t xml:space="preserve">We all know that is not going to happen.  Therefore, taxpayer ends up dealing with multiple RO’s.  Those RO’s, if these cases are selected for mid-term or annual review, will cause the RO to be negatively impacted in Critical Job Element “3C-Compliance” because they will have failed to conduct compliance and/or cross compliance </w:t>
      </w:r>
      <w:hyperlink w:anchor="Compliance" w:history="1">
        <w:r>
          <w:rPr>
            <w:rStyle w:val="Hyperlink"/>
            <w:rFonts w:ascii="Tahoma" w:hAnsi="Tahoma" w:cs="Tahoma"/>
            <w:vertAlign w:val="superscript"/>
          </w:rPr>
          <w:t>*8</w:t>
        </w:r>
      </w:hyperlink>
      <w:r>
        <w:rPr>
          <w:rFonts w:ascii="Tahoma" w:hAnsi="Tahoma" w:cs="Tahoma"/>
        </w:rPr>
        <w:t>.  So, now we have failed the taxpayer and the employee.</w:t>
      </w:r>
    </w:p>
    <w:p w14:paraId="14252494" w14:textId="77777777" w:rsidR="00D43767" w:rsidRDefault="00D43767" w:rsidP="00D43767">
      <w:pPr>
        <w:rPr>
          <w:rFonts w:ascii="Tahoma" w:hAnsi="Tahoma" w:cs="Tahoma"/>
        </w:rPr>
      </w:pPr>
    </w:p>
    <w:p w14:paraId="6FF901C0" w14:textId="77777777" w:rsidR="00D43767" w:rsidRDefault="00D43767" w:rsidP="00D43767">
      <w:pPr>
        <w:rPr>
          <w:rFonts w:ascii="Tahoma" w:hAnsi="Tahoma" w:cs="Tahoma"/>
        </w:rPr>
      </w:pPr>
      <w:r>
        <w:rPr>
          <w:rFonts w:ascii="Tahoma" w:hAnsi="Tahoma" w:cs="Tahoma"/>
        </w:rPr>
        <w:t xml:space="preserve">I’m not sure </w:t>
      </w:r>
      <w:proofErr w:type="gramStart"/>
      <w:r>
        <w:rPr>
          <w:rFonts w:ascii="Tahoma" w:hAnsi="Tahoma" w:cs="Tahoma"/>
        </w:rPr>
        <w:t>but,</w:t>
      </w:r>
      <w:proofErr w:type="gramEnd"/>
      <w:r>
        <w:rPr>
          <w:rFonts w:ascii="Tahoma" w:hAnsi="Tahoma" w:cs="Tahoma"/>
        </w:rPr>
        <w:t xml:space="preserve"> maybe the Large Dollar Unit would be another possibility?  Regardless of who it is, these cases need to be worked by someone better able to handle them, someone who can pull all the entities together.  Piecemealing the whole unit is unfair to the taxpayer and the RO, ineffective and a huge waste of resources. </w:t>
      </w:r>
    </w:p>
    <w:p w14:paraId="3EC52799" w14:textId="77777777" w:rsidR="00D43767" w:rsidRDefault="00D43767" w:rsidP="00D43767">
      <w:pPr>
        <w:rPr>
          <w:rFonts w:ascii="Tahoma" w:hAnsi="Tahoma" w:cs="Tahoma"/>
        </w:rPr>
      </w:pPr>
    </w:p>
    <w:p w14:paraId="2C8CF45F" w14:textId="77777777" w:rsidR="00D43767" w:rsidRDefault="00D43767" w:rsidP="00D43767">
      <w:pPr>
        <w:rPr>
          <w:rFonts w:ascii="Tahoma" w:hAnsi="Tahoma" w:cs="Tahoma"/>
        </w:rPr>
      </w:pPr>
      <w:r>
        <w:rPr>
          <w:rFonts w:ascii="Tahoma" w:hAnsi="Tahoma" w:cs="Tahoma"/>
        </w:rPr>
        <w:t xml:space="preserve">Please </w:t>
      </w:r>
      <w:proofErr w:type="gramStart"/>
      <w:r>
        <w:rPr>
          <w:rFonts w:ascii="Tahoma" w:hAnsi="Tahoma" w:cs="Tahoma"/>
        </w:rPr>
        <w:t>look into</w:t>
      </w:r>
      <w:proofErr w:type="gramEnd"/>
      <w:r>
        <w:rPr>
          <w:rFonts w:ascii="Tahoma" w:hAnsi="Tahoma" w:cs="Tahoma"/>
        </w:rPr>
        <w:t xml:space="preserve"> this &amp; get someone to make the necessary corrections.</w:t>
      </w:r>
    </w:p>
    <w:p w14:paraId="3687A78B" w14:textId="77777777" w:rsidR="00D43767" w:rsidRDefault="00D43767" w:rsidP="00D43767">
      <w:pPr>
        <w:rPr>
          <w:rFonts w:ascii="Consolas" w:hAnsi="Consolas"/>
        </w:rPr>
      </w:pPr>
    </w:p>
    <w:p w14:paraId="0D3360D5" w14:textId="77777777" w:rsidR="00D43767" w:rsidRDefault="00D43767" w:rsidP="00D43767">
      <w:pPr>
        <w:rPr>
          <w:rFonts w:ascii="Consolas" w:hAnsi="Consolas"/>
        </w:rPr>
      </w:pPr>
      <w:r>
        <w:rPr>
          <w:rFonts w:ascii="Consolas" w:hAnsi="Consolas"/>
        </w:rPr>
        <w:t>Thank you,</w:t>
      </w:r>
    </w:p>
    <w:p w14:paraId="07167CFC" w14:textId="77777777" w:rsidR="00D43767" w:rsidRDefault="00D43767" w:rsidP="00D43767">
      <w:pPr>
        <w:rPr>
          <w:rFonts w:ascii="Consolas" w:hAnsi="Consolas"/>
        </w:rPr>
      </w:pPr>
    </w:p>
    <w:p w14:paraId="04C58C78" w14:textId="77777777" w:rsidR="00D43767" w:rsidRDefault="00D43767" w:rsidP="00D43767">
      <w:pPr>
        <w:rPr>
          <w:rFonts w:ascii="Tahoma" w:hAnsi="Tahoma" w:cs="Tahoma"/>
          <w:sz w:val="20"/>
          <w:szCs w:val="20"/>
        </w:rPr>
      </w:pPr>
      <w:r>
        <w:rPr>
          <w:rFonts w:ascii="Tahoma" w:hAnsi="Tahoma" w:cs="Tahoma"/>
          <w:sz w:val="20"/>
          <w:szCs w:val="20"/>
        </w:rPr>
        <w:t xml:space="preserve">David W. Collins </w:t>
      </w:r>
    </w:p>
    <w:p w14:paraId="29AA7E8F" w14:textId="77777777" w:rsidR="00D43767" w:rsidRDefault="00D43767" w:rsidP="00D43767">
      <w:pPr>
        <w:rPr>
          <w:rFonts w:ascii="Tahoma" w:hAnsi="Tahoma" w:cs="Tahoma"/>
          <w:sz w:val="20"/>
          <w:szCs w:val="20"/>
        </w:rPr>
      </w:pPr>
      <w:r>
        <w:rPr>
          <w:rFonts w:ascii="Tahoma" w:hAnsi="Tahoma" w:cs="Tahoma"/>
          <w:sz w:val="20"/>
          <w:szCs w:val="20"/>
        </w:rPr>
        <w:lastRenderedPageBreak/>
        <w:t>#1000857504</w:t>
      </w:r>
    </w:p>
    <w:p w14:paraId="0CC5F8D0" w14:textId="77777777" w:rsidR="00D43767" w:rsidRDefault="00D43767" w:rsidP="00D43767">
      <w:r>
        <w:rPr>
          <w:rFonts w:ascii="Tahoma" w:hAnsi="Tahoma" w:cs="Tahoma"/>
          <w:sz w:val="20"/>
          <w:szCs w:val="20"/>
        </w:rPr>
        <w:t>Revenue Officer, Group 2400</w:t>
      </w:r>
    </w:p>
    <w:p w14:paraId="21E6F445" w14:textId="77777777" w:rsidR="00D43767" w:rsidRDefault="00D43767" w:rsidP="00D43767">
      <w:r>
        <w:rPr>
          <w:rFonts w:ascii="Tahoma" w:hAnsi="Tahoma" w:cs="Tahoma"/>
          <w:sz w:val="20"/>
          <w:szCs w:val="20"/>
        </w:rPr>
        <w:t>5740 Uptain Rd, Suite 7800</w:t>
      </w:r>
    </w:p>
    <w:p w14:paraId="3435B117" w14:textId="77777777" w:rsidR="00D43767" w:rsidRDefault="00D43767" w:rsidP="00D43767">
      <w:r>
        <w:rPr>
          <w:rFonts w:ascii="Tahoma" w:hAnsi="Tahoma" w:cs="Tahoma"/>
          <w:sz w:val="20"/>
          <w:szCs w:val="20"/>
        </w:rPr>
        <w:t>Chattanooga, TN 37411</w:t>
      </w:r>
    </w:p>
    <w:p w14:paraId="0AD797C6" w14:textId="77777777" w:rsidR="00D43767" w:rsidRDefault="00D43767" w:rsidP="00D43767">
      <w:r>
        <w:rPr>
          <w:rFonts w:ascii="Tahoma" w:hAnsi="Tahoma" w:cs="Tahoma"/>
          <w:sz w:val="20"/>
          <w:szCs w:val="20"/>
        </w:rPr>
        <w:t>(423) 855-6022 Office</w:t>
      </w:r>
    </w:p>
    <w:p w14:paraId="0BE6474C" w14:textId="77777777" w:rsidR="00D43767" w:rsidRDefault="00D43767" w:rsidP="00D43767">
      <w:r>
        <w:rPr>
          <w:rFonts w:ascii="Tahoma" w:hAnsi="Tahoma" w:cs="Tahoma"/>
          <w:sz w:val="20"/>
          <w:szCs w:val="20"/>
        </w:rPr>
        <w:t>(877) 621-6314 Fax</w:t>
      </w:r>
    </w:p>
    <w:p w14:paraId="1C49E336" w14:textId="77777777" w:rsidR="00D43767" w:rsidRDefault="00D43767" w:rsidP="00D43767">
      <w:pPr>
        <w:rPr>
          <w:rFonts w:ascii="Tahoma" w:hAnsi="Tahoma" w:cs="Tahoma"/>
          <w:sz w:val="20"/>
          <w:szCs w:val="20"/>
        </w:rPr>
      </w:pPr>
      <w:r>
        <w:rPr>
          <w:rFonts w:ascii="Tahoma" w:hAnsi="Tahoma" w:cs="Tahoma"/>
          <w:sz w:val="20"/>
          <w:szCs w:val="20"/>
        </w:rPr>
        <w:t>(423) 438-9989 Cell</w:t>
      </w:r>
    </w:p>
    <w:p w14:paraId="599E55B9" w14:textId="77777777" w:rsidR="00D43767" w:rsidRDefault="00D43767" w:rsidP="00D43767">
      <w:pPr>
        <w:rPr>
          <w:rFonts w:ascii="Tahoma" w:hAnsi="Tahoma" w:cs="Tahoma"/>
          <w:sz w:val="20"/>
          <w:szCs w:val="20"/>
        </w:rPr>
      </w:pPr>
      <w:hyperlink r:id="rId6" w:history="1">
        <w:r>
          <w:rPr>
            <w:rStyle w:val="Hyperlink"/>
            <w:rFonts w:ascii="Tahoma" w:hAnsi="Tahoma" w:cs="Tahoma"/>
            <w:color w:val="0000FF"/>
            <w:sz w:val="20"/>
            <w:szCs w:val="20"/>
          </w:rPr>
          <w:t>david.collins@irs.gov</w:t>
        </w:r>
      </w:hyperlink>
    </w:p>
    <w:p w14:paraId="2A4B8282" w14:textId="77777777" w:rsidR="00D43767" w:rsidRDefault="00D43767" w:rsidP="00D43767">
      <w:pPr>
        <w:rPr>
          <w:rFonts w:ascii="Tahoma" w:hAnsi="Tahoma" w:cs="Tahoma"/>
          <w:sz w:val="20"/>
          <w:szCs w:val="20"/>
        </w:rPr>
      </w:pPr>
      <w:r>
        <w:rPr>
          <w:rFonts w:ascii="Tahoma" w:hAnsi="Tahoma" w:cs="Tahoma"/>
          <w:sz w:val="20"/>
          <w:szCs w:val="20"/>
        </w:rPr>
        <w:t>6:00 a.m. – 2:30 p.m. EST, Mon – Fri</w:t>
      </w:r>
    </w:p>
    <w:p w14:paraId="2DDA8913" w14:textId="36B91951" w:rsidR="00D43767" w:rsidRDefault="00D43767">
      <w:pPr>
        <w:spacing w:after="160" w:line="259" w:lineRule="auto"/>
        <w:rPr>
          <w:rFonts w:ascii="Tahoma" w:hAnsi="Tahoma" w:cs="Tahoma"/>
          <w:sz w:val="20"/>
          <w:szCs w:val="20"/>
        </w:rPr>
      </w:pPr>
      <w:r>
        <w:rPr>
          <w:rFonts w:ascii="Tahoma" w:hAnsi="Tahoma" w:cs="Tahoma"/>
          <w:sz w:val="20"/>
          <w:szCs w:val="20"/>
        </w:rPr>
        <w:br w:type="page"/>
      </w:r>
    </w:p>
    <w:p w14:paraId="33C95B32" w14:textId="6AD3B6CB" w:rsidR="00D43767" w:rsidRDefault="00D43767">
      <w:pPr>
        <w:spacing w:after="160" w:line="259" w:lineRule="auto"/>
        <w:rPr>
          <w:rFonts w:ascii="Tahoma" w:hAnsi="Tahoma" w:cs="Tahoma"/>
          <w:sz w:val="20"/>
          <w:szCs w:val="20"/>
        </w:rPr>
      </w:pPr>
      <w:r>
        <w:rPr>
          <w:rFonts w:ascii="Tahoma" w:hAnsi="Tahoma" w:cs="Tahoma"/>
          <w:sz w:val="20"/>
          <w:szCs w:val="20"/>
        </w:rPr>
        <w:lastRenderedPageBreak/>
        <w:br w:type="page"/>
      </w:r>
    </w:p>
    <w:p w14:paraId="57186C47" w14:textId="77777777" w:rsidR="00D43767" w:rsidRDefault="00D43767" w:rsidP="00D43767">
      <w:pPr>
        <w:rPr>
          <w:rFonts w:ascii="Tahoma" w:hAnsi="Tahoma" w:cs="Tahoma"/>
          <w:sz w:val="20"/>
          <w:szCs w:val="20"/>
        </w:rPr>
      </w:pPr>
    </w:p>
    <w:tbl>
      <w:tblPr>
        <w:tblW w:w="0" w:type="auto"/>
        <w:tblCellMar>
          <w:left w:w="0" w:type="dxa"/>
          <w:right w:w="0" w:type="dxa"/>
        </w:tblCellMar>
        <w:tblLook w:val="04A0" w:firstRow="1" w:lastRow="0" w:firstColumn="1" w:lastColumn="0" w:noHBand="0" w:noVBand="1"/>
      </w:tblPr>
      <w:tblGrid>
        <w:gridCol w:w="738"/>
        <w:gridCol w:w="8602"/>
      </w:tblGrid>
      <w:tr w:rsidR="00D43767" w14:paraId="6FAFA50E" w14:textId="77777777" w:rsidTr="00D43767">
        <w:tc>
          <w:tcPr>
            <w:tcW w:w="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BC56F8" w14:textId="77777777" w:rsidR="00D43767" w:rsidRDefault="00D43767">
            <w:pPr>
              <w:rPr>
                <w:rFonts w:ascii="Tahoma" w:hAnsi="Tahoma" w:cs="Tahoma"/>
                <w:color w:val="2F5597"/>
                <w:sz w:val="36"/>
                <w:szCs w:val="36"/>
              </w:rPr>
            </w:pPr>
            <w:bookmarkStart w:id="0" w:name="ENMODA1"/>
            <w:r>
              <w:rPr>
                <w:rFonts w:ascii="Tahoma" w:hAnsi="Tahoma" w:cs="Tahoma"/>
                <w:color w:val="2F5597"/>
                <w:sz w:val="36"/>
                <w:szCs w:val="36"/>
              </w:rPr>
              <w:t>*1</w:t>
            </w:r>
            <w:bookmarkEnd w:id="0"/>
          </w:p>
        </w:tc>
        <w:tc>
          <w:tcPr>
            <w:tcW w:w="8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13EB6" w14:textId="62FF4DC4" w:rsidR="00D43767" w:rsidRDefault="00D43767">
            <w:pPr>
              <w:rPr>
                <w:rFonts w:ascii="Tahoma" w:hAnsi="Tahoma" w:cs="Tahoma"/>
                <w:sz w:val="20"/>
                <w:szCs w:val="20"/>
              </w:rPr>
            </w:pPr>
            <w:r>
              <w:rPr>
                <w:rFonts w:ascii="Tahoma" w:hAnsi="Tahoma" w:cs="Tahoma"/>
                <w:noProof/>
                <w:sz w:val="20"/>
                <w:szCs w:val="20"/>
              </w:rPr>
              <w:drawing>
                <wp:inline distT="0" distB="0" distL="0" distR="0" wp14:anchorId="5396B853" wp14:editId="413D2D4A">
                  <wp:extent cx="5943600" cy="19215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921510"/>
                          </a:xfrm>
                          <a:prstGeom prst="rect">
                            <a:avLst/>
                          </a:prstGeom>
                          <a:noFill/>
                          <a:ln>
                            <a:noFill/>
                          </a:ln>
                        </pic:spPr>
                      </pic:pic>
                    </a:graphicData>
                  </a:graphic>
                </wp:inline>
              </w:drawing>
            </w:r>
          </w:p>
        </w:tc>
      </w:tr>
      <w:tr w:rsidR="00D43767" w14:paraId="5BA3DEB1"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BFB3A" w14:textId="77777777" w:rsidR="00D43767" w:rsidRDefault="00D43767">
            <w:pPr>
              <w:rPr>
                <w:rFonts w:ascii="Tahoma" w:hAnsi="Tahoma" w:cs="Tahoma"/>
                <w:color w:val="2F5597"/>
                <w:sz w:val="36"/>
                <w:szCs w:val="36"/>
              </w:rPr>
            </w:pPr>
            <w:bookmarkStart w:id="1" w:name="ENMODA2"/>
            <w:r>
              <w:rPr>
                <w:rFonts w:ascii="Tahoma" w:hAnsi="Tahoma" w:cs="Tahoma"/>
                <w:color w:val="2F5597"/>
                <w:sz w:val="36"/>
                <w:szCs w:val="36"/>
              </w:rPr>
              <w:t>*1a</w:t>
            </w:r>
            <w:bookmarkEnd w:id="1"/>
          </w:p>
        </w:tc>
        <w:tc>
          <w:tcPr>
            <w:tcW w:w="8818" w:type="dxa"/>
            <w:tcBorders>
              <w:top w:val="nil"/>
              <w:left w:val="nil"/>
              <w:bottom w:val="single" w:sz="8" w:space="0" w:color="auto"/>
              <w:right w:val="single" w:sz="8" w:space="0" w:color="auto"/>
            </w:tcBorders>
            <w:tcMar>
              <w:top w:w="0" w:type="dxa"/>
              <w:left w:w="108" w:type="dxa"/>
              <w:bottom w:w="0" w:type="dxa"/>
              <w:right w:w="108" w:type="dxa"/>
            </w:tcMar>
            <w:hideMark/>
          </w:tcPr>
          <w:p w14:paraId="23C1C4B3" w14:textId="615AE0D6" w:rsidR="00D43767" w:rsidRDefault="00D43767">
            <w:pPr>
              <w:rPr>
                <w:rFonts w:ascii="Tahoma" w:hAnsi="Tahoma" w:cs="Tahoma"/>
                <w:sz w:val="20"/>
                <w:szCs w:val="20"/>
              </w:rPr>
            </w:pPr>
            <w:r>
              <w:rPr>
                <w:noProof/>
              </w:rPr>
              <w:drawing>
                <wp:inline distT="0" distB="0" distL="0" distR="0" wp14:anchorId="582A1B8C" wp14:editId="692F9458">
                  <wp:extent cx="5943600" cy="2195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2195830"/>
                          </a:xfrm>
                          <a:prstGeom prst="rect">
                            <a:avLst/>
                          </a:prstGeom>
                          <a:noFill/>
                          <a:ln>
                            <a:noFill/>
                          </a:ln>
                        </pic:spPr>
                      </pic:pic>
                    </a:graphicData>
                  </a:graphic>
                </wp:inline>
              </w:drawing>
            </w:r>
          </w:p>
        </w:tc>
      </w:tr>
      <w:tr w:rsidR="00D43767" w14:paraId="0762FA0F"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31A12" w14:textId="77777777" w:rsidR="00D43767" w:rsidRDefault="00D43767">
            <w:pPr>
              <w:rPr>
                <w:rFonts w:ascii="Tahoma" w:hAnsi="Tahoma" w:cs="Tahoma"/>
                <w:color w:val="2F5597"/>
                <w:sz w:val="36"/>
                <w:szCs w:val="36"/>
              </w:rPr>
            </w:pPr>
            <w:bookmarkStart w:id="2" w:name="ICS1"/>
            <w:r>
              <w:rPr>
                <w:rFonts w:ascii="Tahoma" w:hAnsi="Tahoma" w:cs="Tahoma"/>
                <w:color w:val="2F5597"/>
                <w:sz w:val="36"/>
                <w:szCs w:val="36"/>
              </w:rPr>
              <w:t>*2</w:t>
            </w:r>
            <w:bookmarkEnd w:id="2"/>
          </w:p>
        </w:tc>
        <w:tc>
          <w:tcPr>
            <w:tcW w:w="8818" w:type="dxa"/>
            <w:tcBorders>
              <w:top w:val="nil"/>
              <w:left w:val="nil"/>
              <w:bottom w:val="single" w:sz="8" w:space="0" w:color="auto"/>
              <w:right w:val="single" w:sz="8" w:space="0" w:color="auto"/>
            </w:tcBorders>
            <w:tcMar>
              <w:top w:w="0" w:type="dxa"/>
              <w:left w:w="108" w:type="dxa"/>
              <w:bottom w:w="0" w:type="dxa"/>
              <w:right w:w="108" w:type="dxa"/>
            </w:tcMar>
            <w:hideMark/>
          </w:tcPr>
          <w:p w14:paraId="642C0259" w14:textId="2887C6C6" w:rsidR="00D43767" w:rsidRDefault="00D43767">
            <w:r>
              <w:rPr>
                <w:noProof/>
              </w:rPr>
              <w:drawing>
                <wp:inline distT="0" distB="0" distL="0" distR="0" wp14:anchorId="626FAA11" wp14:editId="7F84E666">
                  <wp:extent cx="5943600" cy="1564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1564005"/>
                          </a:xfrm>
                          <a:prstGeom prst="rect">
                            <a:avLst/>
                          </a:prstGeom>
                          <a:noFill/>
                          <a:ln>
                            <a:noFill/>
                          </a:ln>
                        </pic:spPr>
                      </pic:pic>
                    </a:graphicData>
                  </a:graphic>
                </wp:inline>
              </w:drawing>
            </w:r>
          </w:p>
        </w:tc>
      </w:tr>
      <w:tr w:rsidR="00D43767" w14:paraId="0F849986"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FD03C" w14:textId="77777777" w:rsidR="00D43767" w:rsidRDefault="00D43767">
            <w:pPr>
              <w:rPr>
                <w:rFonts w:ascii="Tahoma" w:hAnsi="Tahoma" w:cs="Tahoma"/>
                <w:color w:val="2F5597"/>
                <w:sz w:val="36"/>
                <w:szCs w:val="36"/>
              </w:rPr>
            </w:pPr>
            <w:bookmarkStart w:id="3" w:name="ICS2" w:colFirst="0" w:colLast="0"/>
            <w:r>
              <w:rPr>
                <w:rFonts w:ascii="Tahoma" w:hAnsi="Tahoma" w:cs="Tahoma"/>
                <w:color w:val="2F5597"/>
                <w:sz w:val="36"/>
                <w:szCs w:val="36"/>
              </w:rPr>
              <w:t>*2a</w:t>
            </w:r>
          </w:p>
        </w:tc>
        <w:tc>
          <w:tcPr>
            <w:tcW w:w="8818" w:type="dxa"/>
            <w:tcBorders>
              <w:top w:val="nil"/>
              <w:left w:val="nil"/>
              <w:bottom w:val="single" w:sz="8" w:space="0" w:color="auto"/>
              <w:right w:val="single" w:sz="8" w:space="0" w:color="auto"/>
            </w:tcBorders>
            <w:tcMar>
              <w:top w:w="0" w:type="dxa"/>
              <w:left w:w="108" w:type="dxa"/>
              <w:bottom w:w="0" w:type="dxa"/>
              <w:right w:w="108" w:type="dxa"/>
            </w:tcMar>
            <w:hideMark/>
          </w:tcPr>
          <w:p w14:paraId="0E84963F" w14:textId="43B42428" w:rsidR="00D43767" w:rsidRDefault="00D43767">
            <w:r>
              <w:rPr>
                <w:noProof/>
              </w:rPr>
              <w:drawing>
                <wp:inline distT="0" distB="0" distL="0" distR="0" wp14:anchorId="70DC30B4" wp14:editId="175C1C3E">
                  <wp:extent cx="5943600" cy="153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530985"/>
                          </a:xfrm>
                          <a:prstGeom prst="rect">
                            <a:avLst/>
                          </a:prstGeom>
                          <a:noFill/>
                          <a:ln>
                            <a:noFill/>
                          </a:ln>
                        </pic:spPr>
                      </pic:pic>
                    </a:graphicData>
                  </a:graphic>
                </wp:inline>
              </w:drawing>
            </w:r>
          </w:p>
        </w:tc>
      </w:tr>
      <w:tr w:rsidR="00D43767" w14:paraId="6C171790"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26AB7" w14:textId="77777777" w:rsidR="00D43767" w:rsidRDefault="00D43767">
            <w:pPr>
              <w:rPr>
                <w:rFonts w:ascii="Tahoma" w:hAnsi="Tahoma" w:cs="Tahoma"/>
                <w:color w:val="2F5597"/>
                <w:sz w:val="36"/>
                <w:szCs w:val="36"/>
              </w:rPr>
            </w:pPr>
            <w:bookmarkStart w:id="4" w:name="Correspondence1" w:colFirst="0" w:colLast="0"/>
            <w:bookmarkEnd w:id="3"/>
            <w:r>
              <w:rPr>
                <w:rFonts w:ascii="Tahoma" w:hAnsi="Tahoma" w:cs="Tahoma"/>
                <w:color w:val="2F5597"/>
                <w:sz w:val="36"/>
                <w:szCs w:val="36"/>
              </w:rPr>
              <w:lastRenderedPageBreak/>
              <w:t>*3</w:t>
            </w:r>
          </w:p>
        </w:tc>
        <w:tc>
          <w:tcPr>
            <w:tcW w:w="8818" w:type="dxa"/>
            <w:tcBorders>
              <w:top w:val="nil"/>
              <w:left w:val="nil"/>
              <w:bottom w:val="single" w:sz="8" w:space="0" w:color="auto"/>
              <w:right w:val="single" w:sz="8" w:space="0" w:color="auto"/>
            </w:tcBorders>
            <w:tcMar>
              <w:top w:w="0" w:type="dxa"/>
              <w:left w:w="108" w:type="dxa"/>
              <w:bottom w:w="0" w:type="dxa"/>
              <w:right w:w="108" w:type="dxa"/>
            </w:tcMar>
            <w:hideMark/>
          </w:tcPr>
          <w:p w14:paraId="10C4E1CC" w14:textId="2B29AE4D" w:rsidR="00D43767" w:rsidRDefault="00D43767">
            <w:pPr>
              <w:rPr>
                <w:rFonts w:ascii="Tahoma" w:hAnsi="Tahoma" w:cs="Tahoma"/>
                <w:sz w:val="20"/>
                <w:szCs w:val="20"/>
              </w:rPr>
            </w:pPr>
            <w:r>
              <w:rPr>
                <w:noProof/>
              </w:rPr>
              <w:drawing>
                <wp:inline distT="0" distB="0" distL="0" distR="0" wp14:anchorId="4A45641F" wp14:editId="15C11405">
                  <wp:extent cx="5943600" cy="2185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2185670"/>
                          </a:xfrm>
                          <a:prstGeom prst="rect">
                            <a:avLst/>
                          </a:prstGeom>
                          <a:noFill/>
                          <a:ln>
                            <a:noFill/>
                          </a:ln>
                        </pic:spPr>
                      </pic:pic>
                    </a:graphicData>
                  </a:graphic>
                </wp:inline>
              </w:drawing>
            </w:r>
          </w:p>
        </w:tc>
      </w:tr>
      <w:tr w:rsidR="00D43767" w14:paraId="31C4F10C"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E1F4" w14:textId="77777777" w:rsidR="00D43767" w:rsidRDefault="00D43767">
            <w:pPr>
              <w:rPr>
                <w:rFonts w:ascii="Tahoma" w:hAnsi="Tahoma" w:cs="Tahoma"/>
                <w:color w:val="2F5597"/>
                <w:sz w:val="36"/>
                <w:szCs w:val="36"/>
              </w:rPr>
            </w:pPr>
            <w:bookmarkStart w:id="5" w:name="Correspondence2"/>
            <w:bookmarkEnd w:id="4"/>
            <w:r>
              <w:rPr>
                <w:rFonts w:ascii="Tahoma" w:hAnsi="Tahoma" w:cs="Tahoma"/>
                <w:color w:val="2F5597"/>
                <w:sz w:val="36"/>
                <w:szCs w:val="36"/>
              </w:rPr>
              <w:t>*3a</w:t>
            </w:r>
            <w:bookmarkEnd w:id="5"/>
          </w:p>
        </w:tc>
        <w:tc>
          <w:tcPr>
            <w:tcW w:w="8818" w:type="dxa"/>
            <w:tcBorders>
              <w:top w:val="nil"/>
              <w:left w:val="nil"/>
              <w:bottom w:val="single" w:sz="8" w:space="0" w:color="auto"/>
              <w:right w:val="single" w:sz="8" w:space="0" w:color="auto"/>
            </w:tcBorders>
            <w:tcMar>
              <w:top w:w="0" w:type="dxa"/>
              <w:left w:w="108" w:type="dxa"/>
              <w:bottom w:w="0" w:type="dxa"/>
              <w:right w:w="108" w:type="dxa"/>
            </w:tcMar>
            <w:hideMark/>
          </w:tcPr>
          <w:p w14:paraId="29BC242F" w14:textId="11D45150" w:rsidR="00D43767" w:rsidRDefault="00D43767">
            <w:pPr>
              <w:rPr>
                <w:rFonts w:ascii="Tahoma" w:hAnsi="Tahoma" w:cs="Tahoma"/>
                <w:sz w:val="20"/>
                <w:szCs w:val="20"/>
              </w:rPr>
            </w:pPr>
            <w:r>
              <w:rPr>
                <w:noProof/>
              </w:rPr>
              <w:drawing>
                <wp:inline distT="0" distB="0" distL="0" distR="0" wp14:anchorId="631EE77B" wp14:editId="76F4364E">
                  <wp:extent cx="5705475" cy="2362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05475" cy="2362200"/>
                          </a:xfrm>
                          <a:prstGeom prst="rect">
                            <a:avLst/>
                          </a:prstGeom>
                          <a:noFill/>
                          <a:ln>
                            <a:noFill/>
                          </a:ln>
                        </pic:spPr>
                      </pic:pic>
                    </a:graphicData>
                  </a:graphic>
                </wp:inline>
              </w:drawing>
            </w:r>
          </w:p>
        </w:tc>
      </w:tr>
      <w:tr w:rsidR="00D43767" w14:paraId="780E02E0"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02842" w14:textId="77777777" w:rsidR="00D43767" w:rsidRDefault="00D43767">
            <w:pPr>
              <w:rPr>
                <w:rFonts w:ascii="Tahoma" w:hAnsi="Tahoma" w:cs="Tahoma"/>
                <w:color w:val="2F5597"/>
                <w:sz w:val="36"/>
                <w:szCs w:val="36"/>
              </w:rPr>
            </w:pPr>
            <w:bookmarkStart w:id="6" w:name="Assets"/>
            <w:r>
              <w:rPr>
                <w:rFonts w:ascii="Tahoma" w:hAnsi="Tahoma" w:cs="Tahoma"/>
                <w:color w:val="2F5597"/>
                <w:sz w:val="36"/>
                <w:szCs w:val="36"/>
              </w:rPr>
              <w:t>*4</w:t>
            </w:r>
            <w:bookmarkEnd w:id="6"/>
          </w:p>
        </w:tc>
        <w:tc>
          <w:tcPr>
            <w:tcW w:w="8818" w:type="dxa"/>
            <w:tcBorders>
              <w:top w:val="nil"/>
              <w:left w:val="nil"/>
              <w:bottom w:val="single" w:sz="8" w:space="0" w:color="auto"/>
              <w:right w:val="single" w:sz="8" w:space="0" w:color="auto"/>
            </w:tcBorders>
            <w:tcMar>
              <w:top w:w="0" w:type="dxa"/>
              <w:left w:w="108" w:type="dxa"/>
              <w:bottom w:w="0" w:type="dxa"/>
              <w:right w:w="108" w:type="dxa"/>
            </w:tcMar>
            <w:hideMark/>
          </w:tcPr>
          <w:p w14:paraId="62F55014" w14:textId="193A002E" w:rsidR="00D43767" w:rsidRDefault="00D43767">
            <w:pPr>
              <w:rPr>
                <w:rFonts w:ascii="Tahoma" w:hAnsi="Tahoma" w:cs="Tahoma"/>
                <w:sz w:val="20"/>
                <w:szCs w:val="20"/>
              </w:rPr>
            </w:pPr>
            <w:r>
              <w:rPr>
                <w:noProof/>
              </w:rPr>
              <w:drawing>
                <wp:inline distT="0" distB="0" distL="0" distR="0" wp14:anchorId="33A33AF1" wp14:editId="44C373B0">
                  <wp:extent cx="46101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610100" cy="619125"/>
                          </a:xfrm>
                          <a:prstGeom prst="rect">
                            <a:avLst/>
                          </a:prstGeom>
                          <a:noFill/>
                          <a:ln>
                            <a:noFill/>
                          </a:ln>
                        </pic:spPr>
                      </pic:pic>
                    </a:graphicData>
                  </a:graphic>
                </wp:inline>
              </w:drawing>
            </w:r>
          </w:p>
        </w:tc>
      </w:tr>
      <w:tr w:rsidR="00D43767" w14:paraId="54CEDEF6"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155FE" w14:textId="77777777" w:rsidR="00D43767" w:rsidRDefault="00D43767">
            <w:pPr>
              <w:rPr>
                <w:rFonts w:ascii="Tahoma" w:hAnsi="Tahoma" w:cs="Tahoma"/>
                <w:color w:val="2F5597"/>
                <w:sz w:val="36"/>
                <w:szCs w:val="36"/>
              </w:rPr>
            </w:pPr>
            <w:bookmarkStart w:id="7" w:name="SBSE"/>
            <w:r>
              <w:rPr>
                <w:rFonts w:ascii="Tahoma" w:hAnsi="Tahoma" w:cs="Tahoma"/>
                <w:color w:val="2F5597"/>
                <w:sz w:val="36"/>
                <w:szCs w:val="36"/>
              </w:rPr>
              <w:t>*5</w:t>
            </w:r>
            <w:bookmarkEnd w:id="7"/>
          </w:p>
        </w:tc>
        <w:tc>
          <w:tcPr>
            <w:tcW w:w="8818" w:type="dxa"/>
            <w:tcBorders>
              <w:top w:val="nil"/>
              <w:left w:val="nil"/>
              <w:bottom w:val="single" w:sz="8" w:space="0" w:color="auto"/>
              <w:right w:val="single" w:sz="8" w:space="0" w:color="auto"/>
            </w:tcBorders>
            <w:tcMar>
              <w:top w:w="0" w:type="dxa"/>
              <w:left w:w="108" w:type="dxa"/>
              <w:bottom w:w="0" w:type="dxa"/>
              <w:right w:w="108" w:type="dxa"/>
            </w:tcMar>
          </w:tcPr>
          <w:p w14:paraId="7E9CCC9C" w14:textId="77777777" w:rsidR="00D43767" w:rsidRDefault="00D43767">
            <w:pPr>
              <w:spacing w:before="120" w:after="100" w:afterAutospacing="1"/>
              <w:rPr>
                <w:rFonts w:ascii="Arial" w:hAnsi="Arial" w:cs="Arial"/>
                <w:b/>
                <w:bCs/>
                <w:color w:val="000000"/>
                <w:sz w:val="27"/>
                <w:szCs w:val="27"/>
              </w:rPr>
            </w:pPr>
            <w:r>
              <w:rPr>
                <w:rFonts w:ascii="Arial" w:hAnsi="Arial" w:cs="Arial"/>
                <w:b/>
                <w:bCs/>
                <w:color w:val="000000"/>
                <w:sz w:val="27"/>
                <w:szCs w:val="27"/>
              </w:rPr>
              <w:t>1.1.16.1 (03-15-2022)</w:t>
            </w:r>
            <w:r>
              <w:rPr>
                <w:rFonts w:ascii="Arial" w:hAnsi="Arial" w:cs="Arial"/>
                <w:b/>
                <w:bCs/>
                <w:color w:val="000000"/>
                <w:sz w:val="27"/>
                <w:szCs w:val="27"/>
              </w:rPr>
              <w:br/>
              <w:t>The Small Business/Self Employed Commissioners of Collection and Examination</w:t>
            </w:r>
          </w:p>
          <w:p w14:paraId="6062669E" w14:textId="77777777" w:rsidR="00D43767" w:rsidRDefault="00D43767">
            <w:pPr>
              <w:rPr>
                <w:rFonts w:ascii="Consolas" w:hAnsi="Consolas"/>
              </w:rPr>
            </w:pPr>
            <w:r>
              <w:rPr>
                <w:rFonts w:ascii="Arial" w:hAnsi="Arial" w:cs="Arial"/>
                <w:color w:val="000000"/>
                <w:sz w:val="27"/>
                <w:szCs w:val="27"/>
                <w:shd w:val="clear" w:color="auto" w:fill="FFFFFF"/>
              </w:rPr>
              <w:t>(2) SB/SE taxpayers are defined as individuals filing schedules for sole proprietor businesses, rental/flow-through income, farm income, and/or employee business expenses as well as all other businesses with assets under $10 million. The SB/SE division also has responsibility for estate, gift, fiduciary, excise, and most employment tax returns.</w:t>
            </w:r>
          </w:p>
          <w:p w14:paraId="3A07B59B" w14:textId="77777777" w:rsidR="00D43767" w:rsidRDefault="00D43767">
            <w:pPr>
              <w:rPr>
                <w:rFonts w:ascii="Tahoma" w:hAnsi="Tahoma" w:cs="Tahoma"/>
                <w:sz w:val="20"/>
                <w:szCs w:val="20"/>
              </w:rPr>
            </w:pPr>
          </w:p>
        </w:tc>
      </w:tr>
      <w:tr w:rsidR="00D43767" w14:paraId="57876DED"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738A" w14:textId="77777777" w:rsidR="00D43767" w:rsidRDefault="00D43767">
            <w:pPr>
              <w:rPr>
                <w:rFonts w:ascii="Tahoma" w:hAnsi="Tahoma" w:cs="Tahoma"/>
                <w:color w:val="2F5597"/>
                <w:sz w:val="36"/>
                <w:szCs w:val="36"/>
              </w:rPr>
            </w:pPr>
            <w:bookmarkStart w:id="8" w:name="LBI"/>
            <w:r>
              <w:rPr>
                <w:rFonts w:ascii="Tahoma" w:hAnsi="Tahoma" w:cs="Tahoma"/>
                <w:color w:val="2F5597"/>
                <w:sz w:val="36"/>
                <w:szCs w:val="36"/>
              </w:rPr>
              <w:t>*6</w:t>
            </w:r>
            <w:bookmarkEnd w:id="8"/>
          </w:p>
        </w:tc>
        <w:tc>
          <w:tcPr>
            <w:tcW w:w="8818" w:type="dxa"/>
            <w:tcBorders>
              <w:top w:val="nil"/>
              <w:left w:val="nil"/>
              <w:bottom w:val="single" w:sz="8" w:space="0" w:color="auto"/>
              <w:right w:val="single" w:sz="8" w:space="0" w:color="auto"/>
            </w:tcBorders>
            <w:tcMar>
              <w:top w:w="0" w:type="dxa"/>
              <w:left w:w="108" w:type="dxa"/>
              <w:bottom w:w="0" w:type="dxa"/>
              <w:right w:w="108" w:type="dxa"/>
            </w:tcMar>
          </w:tcPr>
          <w:p w14:paraId="52F92563" w14:textId="77777777" w:rsidR="00D43767" w:rsidRDefault="00D43767">
            <w:pPr>
              <w:spacing w:before="120" w:after="100" w:afterAutospacing="1"/>
              <w:rPr>
                <w:rFonts w:ascii="Arial" w:hAnsi="Arial" w:cs="Arial"/>
                <w:b/>
                <w:bCs/>
                <w:color w:val="000000"/>
                <w:sz w:val="27"/>
                <w:szCs w:val="27"/>
              </w:rPr>
            </w:pPr>
            <w:r>
              <w:rPr>
                <w:rFonts w:ascii="Arial" w:hAnsi="Arial" w:cs="Arial"/>
                <w:b/>
                <w:bCs/>
                <w:color w:val="000000"/>
                <w:sz w:val="27"/>
                <w:szCs w:val="27"/>
              </w:rPr>
              <w:t>1.1.24.1 (09-24-2020)</w:t>
            </w:r>
            <w:r>
              <w:rPr>
                <w:rFonts w:ascii="Arial" w:hAnsi="Arial" w:cs="Arial"/>
                <w:b/>
                <w:bCs/>
                <w:color w:val="000000"/>
                <w:sz w:val="27"/>
                <w:szCs w:val="27"/>
              </w:rPr>
              <w:br/>
              <w:t>Large Business and International Division</w:t>
            </w:r>
          </w:p>
          <w:p w14:paraId="3B1C1FE8" w14:textId="77777777" w:rsidR="00D43767" w:rsidRDefault="00D43767">
            <w:pPr>
              <w:rPr>
                <w:rFonts w:ascii="Consolas" w:hAnsi="Consolas"/>
              </w:rPr>
            </w:pPr>
            <w:r>
              <w:rPr>
                <w:rFonts w:ascii="Arial" w:hAnsi="Arial" w:cs="Arial"/>
                <w:color w:val="000000"/>
                <w:sz w:val="27"/>
                <w:szCs w:val="27"/>
                <w:shd w:val="clear" w:color="auto" w:fill="FFFFFF"/>
              </w:rPr>
              <w:t xml:space="preserve">(2) LB&amp;I serves C corporations, S corporations and partnerships with </w:t>
            </w:r>
            <w:r>
              <w:rPr>
                <w:rFonts w:ascii="Arial" w:hAnsi="Arial" w:cs="Arial"/>
                <w:color w:val="000000"/>
                <w:sz w:val="27"/>
                <w:szCs w:val="27"/>
                <w:shd w:val="clear" w:color="auto" w:fill="FFFFFF"/>
              </w:rPr>
              <w:lastRenderedPageBreak/>
              <w:t>assets greater than $10 million. </w:t>
            </w:r>
          </w:p>
          <w:p w14:paraId="4100D20F" w14:textId="77777777" w:rsidR="00D43767" w:rsidRDefault="00D43767">
            <w:pPr>
              <w:rPr>
                <w:rFonts w:ascii="Tahoma" w:hAnsi="Tahoma" w:cs="Tahoma"/>
                <w:sz w:val="20"/>
                <w:szCs w:val="20"/>
              </w:rPr>
            </w:pPr>
          </w:p>
        </w:tc>
      </w:tr>
      <w:tr w:rsidR="00D43767" w14:paraId="435B917D"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10D32" w14:textId="77777777" w:rsidR="00D43767" w:rsidRDefault="00D43767">
            <w:pPr>
              <w:rPr>
                <w:rFonts w:ascii="Tahoma" w:hAnsi="Tahoma" w:cs="Tahoma"/>
                <w:color w:val="2F5597"/>
                <w:sz w:val="36"/>
                <w:szCs w:val="36"/>
              </w:rPr>
            </w:pPr>
            <w:r>
              <w:rPr>
                <w:rFonts w:ascii="Tahoma" w:hAnsi="Tahoma" w:cs="Tahoma"/>
                <w:color w:val="2F5597"/>
                <w:sz w:val="36"/>
                <w:szCs w:val="36"/>
              </w:rPr>
              <w:lastRenderedPageBreak/>
              <w:t>*7</w:t>
            </w:r>
          </w:p>
        </w:tc>
        <w:tc>
          <w:tcPr>
            <w:tcW w:w="8818" w:type="dxa"/>
            <w:tcBorders>
              <w:top w:val="nil"/>
              <w:left w:val="nil"/>
              <w:bottom w:val="single" w:sz="8" w:space="0" w:color="auto"/>
              <w:right w:val="single" w:sz="8" w:space="0" w:color="auto"/>
            </w:tcBorders>
            <w:tcMar>
              <w:top w:w="0" w:type="dxa"/>
              <w:left w:w="108" w:type="dxa"/>
              <w:bottom w:w="0" w:type="dxa"/>
              <w:right w:w="108" w:type="dxa"/>
            </w:tcMar>
          </w:tcPr>
          <w:p w14:paraId="34B3E073" w14:textId="77777777" w:rsidR="00D43767" w:rsidRDefault="00D43767">
            <w:pPr>
              <w:spacing w:before="120" w:after="100" w:afterAutospacing="1"/>
              <w:rPr>
                <w:rFonts w:ascii="Arial" w:hAnsi="Arial" w:cs="Arial"/>
                <w:b/>
                <w:bCs/>
                <w:sz w:val="27"/>
                <w:szCs w:val="27"/>
              </w:rPr>
            </w:pPr>
            <w:r>
              <w:rPr>
                <w:rFonts w:ascii="Arial" w:hAnsi="Arial" w:cs="Arial"/>
                <w:b/>
                <w:bCs/>
                <w:color w:val="000000"/>
                <w:sz w:val="27"/>
                <w:szCs w:val="27"/>
              </w:rPr>
              <w:t>5.19.1.4.4.1 (09-09-2019)</w:t>
            </w:r>
            <w:r>
              <w:rPr>
                <w:rFonts w:ascii="Arial" w:hAnsi="Arial" w:cs="Arial"/>
                <w:b/>
                <w:bCs/>
                <w:color w:val="000000"/>
                <w:sz w:val="27"/>
                <w:szCs w:val="27"/>
              </w:rPr>
              <w:br/>
              <w:t>Full Compliance Check</w:t>
            </w:r>
            <w:r>
              <w:rPr>
                <w:rFonts w:ascii="Arial" w:hAnsi="Arial" w:cs="Arial"/>
                <w:b/>
                <w:bCs/>
                <w:sz w:val="27"/>
                <w:szCs w:val="27"/>
              </w:rPr>
              <w:t xml:space="preserve">  </w:t>
            </w:r>
          </w:p>
          <w:p w14:paraId="73B678D6" w14:textId="77777777" w:rsidR="00D43767" w:rsidRDefault="00D43767">
            <w:pPr>
              <w:spacing w:before="600" w:after="100" w:afterAutospacing="1"/>
              <w:rPr>
                <w:rFonts w:ascii="Arial" w:hAnsi="Arial" w:cs="Arial"/>
                <w:color w:val="000000"/>
                <w:sz w:val="27"/>
                <w:szCs w:val="27"/>
              </w:rPr>
            </w:pPr>
            <w:r>
              <w:rPr>
                <w:rFonts w:ascii="Arial" w:hAnsi="Arial" w:cs="Arial"/>
                <w:color w:val="000000"/>
                <w:sz w:val="27"/>
                <w:szCs w:val="27"/>
              </w:rPr>
              <w:t xml:space="preserve">(1) A full compliance check is required to identify if the taxpayer filed and paid all types of tax, </w:t>
            </w:r>
            <w:proofErr w:type="gramStart"/>
            <w:r>
              <w:rPr>
                <w:rFonts w:ascii="Arial" w:hAnsi="Arial" w:cs="Arial"/>
                <w:color w:val="000000"/>
                <w:sz w:val="27"/>
                <w:szCs w:val="27"/>
              </w:rPr>
              <w:t>penalties</w:t>
            </w:r>
            <w:proofErr w:type="gramEnd"/>
            <w:r>
              <w:rPr>
                <w:rFonts w:ascii="Arial" w:hAnsi="Arial" w:cs="Arial"/>
                <w:color w:val="000000"/>
                <w:sz w:val="27"/>
                <w:szCs w:val="27"/>
              </w:rPr>
              <w:t xml:space="preserve"> and interest for which they are liable. Ensure balance due and return delinquency modules, including cross-reference taxpayer identification numbers displayed on all MFs, are researched.</w:t>
            </w:r>
          </w:p>
          <w:p w14:paraId="3A46A603" w14:textId="77777777" w:rsidR="00D43767" w:rsidRDefault="00D43767">
            <w:pPr>
              <w:rPr>
                <w:rFonts w:ascii="Tahoma" w:hAnsi="Tahoma" w:cs="Tahoma"/>
                <w:sz w:val="20"/>
                <w:szCs w:val="20"/>
              </w:rPr>
            </w:pPr>
          </w:p>
        </w:tc>
      </w:tr>
      <w:tr w:rsidR="00D43767" w14:paraId="5B098C82" w14:textId="77777777" w:rsidTr="00D43767">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93E6E" w14:textId="77777777" w:rsidR="00D43767" w:rsidRDefault="00D43767">
            <w:pPr>
              <w:rPr>
                <w:rFonts w:ascii="Tahoma" w:hAnsi="Tahoma" w:cs="Tahoma"/>
                <w:color w:val="2F5597"/>
                <w:sz w:val="36"/>
                <w:szCs w:val="36"/>
              </w:rPr>
            </w:pPr>
            <w:bookmarkStart w:id="9" w:name="Compliance" w:colFirst="0" w:colLast="0"/>
            <w:r>
              <w:rPr>
                <w:rFonts w:ascii="Tahoma" w:hAnsi="Tahoma" w:cs="Tahoma"/>
                <w:color w:val="2F5597"/>
                <w:sz w:val="36"/>
                <w:szCs w:val="36"/>
              </w:rPr>
              <w:t>*8</w:t>
            </w:r>
          </w:p>
        </w:tc>
        <w:tc>
          <w:tcPr>
            <w:tcW w:w="8818" w:type="dxa"/>
            <w:tcBorders>
              <w:top w:val="nil"/>
              <w:left w:val="nil"/>
              <w:bottom w:val="single" w:sz="8" w:space="0" w:color="auto"/>
              <w:right w:val="single" w:sz="8" w:space="0" w:color="auto"/>
            </w:tcBorders>
            <w:tcMar>
              <w:top w:w="0" w:type="dxa"/>
              <w:left w:w="108" w:type="dxa"/>
              <w:bottom w:w="0" w:type="dxa"/>
              <w:right w:w="108" w:type="dxa"/>
            </w:tcMar>
          </w:tcPr>
          <w:p w14:paraId="510CC984" w14:textId="0DB63497" w:rsidR="00D43767" w:rsidRDefault="00D43767">
            <w:pPr>
              <w:spacing w:before="120" w:after="100" w:afterAutospacing="1"/>
              <w:rPr>
                <w:rFonts w:ascii="Arial" w:hAnsi="Arial" w:cs="Arial"/>
                <w:b/>
                <w:bCs/>
                <w:color w:val="000000"/>
                <w:sz w:val="27"/>
                <w:szCs w:val="27"/>
              </w:rPr>
            </w:pPr>
            <w:r>
              <w:rPr>
                <w:noProof/>
              </w:rPr>
              <w:drawing>
                <wp:inline distT="0" distB="0" distL="0" distR="0" wp14:anchorId="1819008D" wp14:editId="2F027E5B">
                  <wp:extent cx="5943600" cy="1731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3600" cy="1731645"/>
                          </a:xfrm>
                          <a:prstGeom prst="rect">
                            <a:avLst/>
                          </a:prstGeom>
                          <a:noFill/>
                          <a:ln>
                            <a:noFill/>
                          </a:ln>
                        </pic:spPr>
                      </pic:pic>
                    </a:graphicData>
                  </a:graphic>
                </wp:inline>
              </w:drawing>
            </w:r>
          </w:p>
          <w:p w14:paraId="729BB8B2" w14:textId="77777777" w:rsidR="00D43767" w:rsidRDefault="00D43767">
            <w:pPr>
              <w:spacing w:before="120" w:after="100" w:afterAutospacing="1"/>
              <w:rPr>
                <w:rFonts w:ascii="Arial" w:hAnsi="Arial" w:cs="Arial"/>
                <w:b/>
                <w:bCs/>
                <w:color w:val="000000"/>
                <w:sz w:val="27"/>
                <w:szCs w:val="27"/>
              </w:rPr>
            </w:pPr>
          </w:p>
        </w:tc>
      </w:tr>
      <w:bookmarkEnd w:id="9"/>
    </w:tbl>
    <w:p w14:paraId="18603D35" w14:textId="77777777" w:rsidR="00D43767" w:rsidRDefault="00D43767" w:rsidP="00D43767">
      <w:pPr>
        <w:rPr>
          <w:rFonts w:ascii="Tahoma" w:hAnsi="Tahoma" w:cs="Tahoma"/>
          <w:sz w:val="20"/>
          <w:szCs w:val="20"/>
        </w:rPr>
      </w:pPr>
    </w:p>
    <w:p w14:paraId="1CD456C3" w14:textId="77777777" w:rsidR="00587236" w:rsidRDefault="00587236"/>
    <w:sectPr w:rsidR="00587236" w:rsidSect="00D43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82ACB"/>
    <w:multiLevelType w:val="hybridMultilevel"/>
    <w:tmpl w:val="E5241704"/>
    <w:lvl w:ilvl="0" w:tplc="EE04BFB2">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67"/>
    <w:rsid w:val="00587236"/>
    <w:rsid w:val="009B2A16"/>
    <w:rsid w:val="00D4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7EB6"/>
  <w15:docId w15:val="{529D7F97-D14D-4436-8491-EBB12096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767"/>
    <w:rPr>
      <w:color w:val="0563C1"/>
      <w:u w:val="single"/>
    </w:rPr>
  </w:style>
  <w:style w:type="paragraph" w:styleId="NoSpacing">
    <w:name w:val="No Spacing"/>
    <w:basedOn w:val="Normal"/>
    <w:uiPriority w:val="1"/>
    <w:qFormat/>
    <w:rsid w:val="00D43767"/>
  </w:style>
  <w:style w:type="paragraph" w:styleId="ListParagraph">
    <w:name w:val="List Paragraph"/>
    <w:basedOn w:val="Normal"/>
    <w:uiPriority w:val="34"/>
    <w:qFormat/>
    <w:rsid w:val="00D43767"/>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2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84D98.A8648F80" TargetMode="External"/><Relationship Id="rId13" Type="http://schemas.openxmlformats.org/officeDocument/2006/relationships/image" Target="media/image4.png"/><Relationship Id="rId18" Type="http://schemas.openxmlformats.org/officeDocument/2006/relationships/image" Target="cid:image006.png@01D84D98.A8648F80"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cid:image003.png@01D84D98.A8648F80" TargetMode="External"/><Relationship Id="rId17" Type="http://schemas.openxmlformats.org/officeDocument/2006/relationships/image" Target="media/image6.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cid:image005.png@01D84D98.A8648F80" TargetMode="External"/><Relationship Id="rId20" Type="http://schemas.openxmlformats.org/officeDocument/2006/relationships/image" Target="cid:image007.png@01D84D98.A8648F80" TargetMode="External"/><Relationship Id="rId1" Type="http://schemas.openxmlformats.org/officeDocument/2006/relationships/customXml" Target="../customXml/item1.xml"/><Relationship Id="rId6" Type="http://schemas.openxmlformats.org/officeDocument/2006/relationships/hyperlink" Target="mailto:david.collins@irs.gov"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cid:image002.png@01D84D98.A8648F80"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4.png@01D84D98.A8648F80" TargetMode="External"/><Relationship Id="rId22" Type="http://schemas.openxmlformats.org/officeDocument/2006/relationships/image" Target="cid:image008.png@01D84D98.A8648F80"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D2227-0866-4AF6-B1F6-BA7E52B7936F}">
  <ds:schemaRefs>
    <ds:schemaRef ds:uri="http://schemas.openxmlformats.org/officeDocument/2006/bibliography"/>
  </ds:schemaRefs>
</ds:datastoreItem>
</file>

<file path=customXml/itemProps2.xml><?xml version="1.0" encoding="utf-8"?>
<ds:datastoreItem xmlns:ds="http://schemas.openxmlformats.org/officeDocument/2006/customXml" ds:itemID="{0C089E5C-6701-4704-B157-04F78687EFF1}"/>
</file>

<file path=customXml/itemProps3.xml><?xml version="1.0" encoding="utf-8"?>
<ds:datastoreItem xmlns:ds="http://schemas.openxmlformats.org/officeDocument/2006/customXml" ds:itemID="{748F707D-6748-43FD-BDAA-9DCFB9060372}"/>
</file>

<file path=customXml/itemProps4.xml><?xml version="1.0" encoding="utf-8"?>
<ds:datastoreItem xmlns:ds="http://schemas.openxmlformats.org/officeDocument/2006/customXml" ds:itemID="{A82BC06E-B0A5-4A7D-998C-DCFB71C24A09}"/>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David</dc:creator>
  <cp:keywords/>
  <dc:description/>
  <cp:lastModifiedBy>Collins David</cp:lastModifiedBy>
  <cp:revision>1</cp:revision>
  <dcterms:created xsi:type="dcterms:W3CDTF">2022-08-15T18:27:00Z</dcterms:created>
  <dcterms:modified xsi:type="dcterms:W3CDTF">2022-08-16T17:15:00Z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ies>
</file>