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5E20" w14:textId="3885024C" w:rsidR="007B47F7" w:rsidRDefault="007B47F7" w:rsidP="000B65AD">
      <w:r>
        <w:t>Collection standards show TP to be CNC</w:t>
      </w:r>
    </w:p>
    <w:p w14:paraId="1CEB6810" w14:textId="43510C32" w:rsidR="007B47F7" w:rsidRDefault="007B47F7" w:rsidP="000B65AD">
      <w:r>
        <w:t>If they could get a loan on the equity in their home, they would not be able to afford the payments on that loan.</w:t>
      </w:r>
    </w:p>
    <w:p w14:paraId="1CDF6671" w14:textId="5D3BA859" w:rsidR="007B47F7" w:rsidRDefault="007B47F7" w:rsidP="000B65AD">
      <w:r>
        <w:t>The property of residence has at least 25% being used for the business as office, shop &amp; storage yard.</w:t>
      </w:r>
    </w:p>
    <w:p w14:paraId="7D471516" w14:textId="77777777" w:rsidR="007B47F7" w:rsidRDefault="007B47F7" w:rsidP="000B65AD"/>
    <w:p w14:paraId="06FACD1B" w14:textId="77777777" w:rsidR="007B47F7" w:rsidRDefault="00AB758E" w:rsidP="000B65AD">
      <w:r w:rsidRPr="00AB758E">
        <w:t>IRC § 6334(a)(13) provides that the principal residence of a taxpayer is generally exempt from levy, except as provided in subsection (e).</w:t>
      </w:r>
    </w:p>
    <w:p w14:paraId="74669373" w14:textId="57021C0C" w:rsidR="00F42427" w:rsidRDefault="00AB758E" w:rsidP="000B65AD">
      <w:r w:rsidRPr="00AB758E">
        <w:t xml:space="preserve">IRC § 6334(e) provides that a principal residence shall not be exempt from levy if a judge or magistrate of a U.S. district court “approves (in writing) the levy of such residence.”  </w:t>
      </w:r>
    </w:p>
    <w:p w14:paraId="39E71836" w14:textId="4E0254BD" w:rsidR="00F42427" w:rsidRDefault="008D55D2" w:rsidP="000B65AD">
      <w:r w:rsidRPr="008D55D2">
        <w:t>IRC § 6343(a) requires the IRS to release a levy under certain circumstances, including where it determines that the levy “is creating an economic hardship due to the financial condition of the taxpayer.”</w:t>
      </w:r>
      <w:r>
        <w:t xml:space="preserve"> </w:t>
      </w:r>
      <w:r w:rsidRPr="008D55D2">
        <w:rPr>
          <w:sz w:val="14"/>
          <w:szCs w:val="14"/>
        </w:rPr>
        <w:t>(IRC</w:t>
      </w:r>
      <w:r>
        <w:rPr>
          <w:sz w:val="14"/>
          <w:szCs w:val="14"/>
        </w:rPr>
        <w:t xml:space="preserve"> </w:t>
      </w:r>
      <w:r w:rsidRPr="008D55D2">
        <w:rPr>
          <w:sz w:val="14"/>
          <w:szCs w:val="14"/>
        </w:rPr>
        <w:t>§6343(a)(1)(D))</w:t>
      </w:r>
      <w:r w:rsidRPr="008D55D2">
        <w:t xml:space="preserve"> The government must show that “the taxpayer’s other assets subject to collection are insufficient to pay the amount due,” </w:t>
      </w:r>
      <w:r w:rsidRPr="008D55D2">
        <w:rPr>
          <w:sz w:val="14"/>
          <w:szCs w:val="14"/>
        </w:rPr>
        <w:t>(IRC §6334(e))</w:t>
      </w:r>
      <w:r w:rsidRPr="008D55D2">
        <w:t xml:space="preserve"> and that “no reasonable alternative exists for collection of a taxpayer’s debt.” </w:t>
      </w:r>
      <w:r>
        <w:rPr>
          <w:sz w:val="14"/>
          <w:szCs w:val="14"/>
        </w:rPr>
        <w:t>(T</w:t>
      </w:r>
      <w:r w:rsidRPr="008D55D2">
        <w:rPr>
          <w:sz w:val="14"/>
          <w:szCs w:val="14"/>
        </w:rPr>
        <w:t>reas.</w:t>
      </w:r>
      <w:r>
        <w:rPr>
          <w:sz w:val="14"/>
          <w:szCs w:val="14"/>
        </w:rPr>
        <w:t xml:space="preserve"> </w:t>
      </w:r>
      <w:r w:rsidRPr="008D55D2">
        <w:rPr>
          <w:sz w:val="14"/>
          <w:szCs w:val="14"/>
        </w:rPr>
        <w:t>Reg.</w:t>
      </w:r>
      <w:r>
        <w:rPr>
          <w:sz w:val="14"/>
          <w:szCs w:val="14"/>
        </w:rPr>
        <w:t xml:space="preserve"> </w:t>
      </w:r>
      <w:r w:rsidRPr="008D55D2">
        <w:rPr>
          <w:sz w:val="14"/>
          <w:szCs w:val="14"/>
        </w:rPr>
        <w:t>§301.6334-1(d)(1)</w:t>
      </w:r>
      <w:r>
        <w:rPr>
          <w:sz w:val="14"/>
          <w:szCs w:val="14"/>
        </w:rPr>
        <w:t>)</w:t>
      </w:r>
      <w:r w:rsidRPr="008D55D2">
        <w:t xml:space="preserve">  </w:t>
      </w:r>
    </w:p>
    <w:p w14:paraId="7BE8D89B" w14:textId="6FC8CAEC" w:rsidR="008D55D2" w:rsidRDefault="008D55D2" w:rsidP="000B65AD">
      <w:r>
        <w:t>_______________________________________</w:t>
      </w:r>
    </w:p>
    <w:p w14:paraId="0622FC47" w14:textId="6FDE2D1C" w:rsidR="00F42427" w:rsidRDefault="008D55D2" w:rsidP="000B65AD">
      <w:r>
        <w:t>Business uses ~ 25% of property as s</w:t>
      </w:r>
      <w:r w:rsidR="00F42427">
        <w:t>hop and storage yard</w:t>
      </w:r>
      <w:r>
        <w:t>.</w:t>
      </w:r>
    </w:p>
    <w:p w14:paraId="4486FC12" w14:textId="76936349" w:rsidR="007B47F7" w:rsidRDefault="007B47F7" w:rsidP="000B65AD">
      <w:r w:rsidRPr="007B47F7">
        <w:t>26 U.S. Code § 6334</w:t>
      </w:r>
      <w:r w:rsidR="00816713">
        <w:t>(a)(13)(B)</w:t>
      </w:r>
    </w:p>
    <w:p w14:paraId="0EF66974" w14:textId="77777777" w:rsidR="00816713" w:rsidRDefault="007B47F7" w:rsidP="000B65AD">
      <w:r w:rsidRPr="007B47F7">
        <w:t>(B)</w:t>
      </w:r>
      <w:r w:rsidR="00816713">
        <w:t xml:space="preserve"> </w:t>
      </w:r>
      <w:r w:rsidRPr="007B47F7">
        <w:t>Principal residences and certain business assets</w:t>
      </w:r>
      <w:r>
        <w:t xml:space="preserve"> </w:t>
      </w:r>
    </w:p>
    <w:p w14:paraId="2B4BAC49" w14:textId="4519EF19" w:rsidR="007B47F7" w:rsidRPr="007B47F7" w:rsidRDefault="007B47F7" w:rsidP="000B65AD">
      <w:r w:rsidRPr="007B47F7">
        <w:t>Except to the extent provided in subsection (e)—</w:t>
      </w:r>
    </w:p>
    <w:p w14:paraId="27471574" w14:textId="674F6DDA" w:rsidR="007B47F7" w:rsidRPr="007B47F7" w:rsidRDefault="007B47F7" w:rsidP="000B65AD">
      <w:bookmarkStart w:id="0" w:name="a_13_B_i"/>
      <w:bookmarkEnd w:id="0"/>
      <w:r w:rsidRPr="007B47F7">
        <w:t>(</w:t>
      </w:r>
      <w:proofErr w:type="spellStart"/>
      <w:r w:rsidRPr="007B47F7">
        <w:t>i</w:t>
      </w:r>
      <w:proofErr w:type="spellEnd"/>
      <w:r w:rsidRPr="007B47F7">
        <w:t>)</w:t>
      </w:r>
      <w:r>
        <w:t xml:space="preserve"> </w:t>
      </w:r>
      <w:r w:rsidRPr="007B47F7">
        <w:t>the principal residence of the taxpayer (within the meaning of </w:t>
      </w:r>
      <w:hyperlink r:id="rId5" w:history="1">
        <w:r w:rsidRPr="007B47F7">
          <w:rPr>
            <w:rStyle w:val="Hyperlink"/>
            <w:rFonts w:ascii="Univers" w:hAnsi="Univers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section 121</w:t>
        </w:r>
      </w:hyperlink>
      <w:r w:rsidRPr="007B47F7">
        <w:t>); and</w:t>
      </w:r>
    </w:p>
    <w:p w14:paraId="6D4C05D8" w14:textId="514D63E1" w:rsidR="007B47F7" w:rsidRPr="007B47F7" w:rsidRDefault="007B47F7" w:rsidP="000B65AD">
      <w:bookmarkStart w:id="1" w:name="a_13_B_ii"/>
      <w:bookmarkEnd w:id="1"/>
      <w:r w:rsidRPr="007B47F7">
        <w:t>(ii)</w:t>
      </w:r>
      <w:r>
        <w:t xml:space="preserve"> </w:t>
      </w:r>
      <w:r w:rsidRPr="007B47F7">
        <w:t>tangible personal property or real property (other than real property which is rented) used in the trade or business of an individual taxpayer.</w:t>
      </w:r>
    </w:p>
    <w:p w14:paraId="1B2A59A1" w14:textId="4C16F4B9" w:rsidR="00D21C6E" w:rsidRDefault="00D21C6E" w:rsidP="000B65AD">
      <w:r>
        <w:br w:type="page"/>
      </w:r>
    </w:p>
    <w:p w14:paraId="27B739D2" w14:textId="291F98A9" w:rsidR="007B47F7" w:rsidRDefault="00D21C6E" w:rsidP="000B65AD">
      <w:r>
        <w:lastRenderedPageBreak/>
        <w:t>Seizure of the home would cause economic hardship.</w:t>
      </w:r>
    </w:p>
    <w:p w14:paraId="65281F02" w14:textId="6154C485" w:rsidR="00D21C6E" w:rsidRPr="004C4B63" w:rsidRDefault="00D21C6E" w:rsidP="000B65AD">
      <w:bookmarkStart w:id="2" w:name="_Hlk176430125"/>
      <w:r w:rsidRPr="004C4B63">
        <w:t>It is a personal residence.  Seizure would net proceeds of</w:t>
      </w:r>
      <w:r w:rsidR="004C4B63">
        <w:t xml:space="preserve"> </w:t>
      </w:r>
      <w:r w:rsidRPr="004C4B63">
        <w:t>$150,000</w:t>
      </w:r>
    </w:p>
    <w:p w14:paraId="6FAADF7D" w14:textId="31E926FE" w:rsidR="00D21C6E" w:rsidRDefault="00D21C6E" w:rsidP="000B65AD">
      <w:r>
        <w:t>FMV</w:t>
      </w:r>
      <w:r>
        <w:tab/>
      </w:r>
      <w:r>
        <w:tab/>
        <w:t>$700,000</w:t>
      </w:r>
    </w:p>
    <w:p w14:paraId="35FEA6FE" w14:textId="4800413F" w:rsidR="00D21C6E" w:rsidRDefault="00D21C6E" w:rsidP="000B65AD">
      <w:r>
        <w:t>Quick Sale</w:t>
      </w:r>
      <w:r>
        <w:tab/>
        <w:t>$560,000</w:t>
      </w:r>
    </w:p>
    <w:p w14:paraId="7A7BA493" w14:textId="19A2E96D" w:rsidR="00D21C6E" w:rsidRDefault="00D21C6E" w:rsidP="000B65AD">
      <w:r>
        <w:t>Loan Bal</w:t>
      </w:r>
      <w:r>
        <w:tab/>
        <w:t>$410,000</w:t>
      </w:r>
    </w:p>
    <w:p w14:paraId="0612F036" w14:textId="2C948D2E" w:rsidR="00D21C6E" w:rsidRDefault="00D21C6E" w:rsidP="000B65AD">
      <w:r>
        <w:t>Quick Equity</w:t>
      </w:r>
      <w:r>
        <w:tab/>
        <w:t>$150,000</w:t>
      </w:r>
    </w:p>
    <w:p w14:paraId="3CDF292F" w14:textId="4E5DB502" w:rsidR="00D21C6E" w:rsidRDefault="00D21C6E" w:rsidP="000B65AD">
      <w:r>
        <w:t>FMV Equity</w:t>
      </w:r>
      <w:r>
        <w:tab/>
        <w:t>$290,000</w:t>
      </w:r>
    </w:p>
    <w:p w14:paraId="239EF8E7" w14:textId="71EFF1E1" w:rsidR="00D21C6E" w:rsidRDefault="00D21C6E" w:rsidP="000B65AD">
      <w:r w:rsidRPr="00D21C6E">
        <w:t xml:space="preserve">As of July 2024, the median listing price for a home in </w:t>
      </w:r>
      <w:r w:rsidR="00AC30C3" w:rsidRPr="00D21C6E">
        <w:t>San Luis Obispo</w:t>
      </w:r>
      <w:r w:rsidR="00AC30C3">
        <w:t xml:space="preserve"> County</w:t>
      </w:r>
      <w:r w:rsidRPr="00D21C6E">
        <w:t xml:space="preserve"> was $1.2 million</w:t>
      </w:r>
    </w:p>
    <w:p w14:paraId="777A7803" w14:textId="4C4EB210" w:rsidR="00A33ABF" w:rsidRDefault="00A33ABF" w:rsidP="000B65AD">
      <w:r>
        <w:t>A down payment would require $240k at 20%</w:t>
      </w:r>
    </w:p>
    <w:p w14:paraId="797265A7" w14:textId="77777777" w:rsidR="004C4B63" w:rsidRDefault="004C4B63" w:rsidP="000B65AD">
      <w:r w:rsidRPr="004C4B63">
        <w:t>To rent would be just as bad</w:t>
      </w:r>
      <w:r>
        <w:t xml:space="preserve"> at</w:t>
      </w:r>
      <w:r w:rsidR="00D41437" w:rsidRPr="004C4B63">
        <w:t xml:space="preserve"> $6k per month. </w:t>
      </w:r>
    </w:p>
    <w:p w14:paraId="05C46BC1" w14:textId="70F421E9" w:rsidR="00A33ABF" w:rsidRDefault="00D41437" w:rsidP="000B65AD">
      <w:r w:rsidRPr="004C4B63">
        <w:t>Home</w:t>
      </w:r>
      <w:r w:rsidR="00A33ABF" w:rsidRPr="004C4B63">
        <w:t xml:space="preserve"> $3,000 per month plus $3,400 for the business (20k sf (1/2 acre) at $2.08sf annual) </w:t>
      </w:r>
    </w:p>
    <w:p w14:paraId="076203C0" w14:textId="77777777" w:rsidR="004C4B63" w:rsidRDefault="004C4B63" w:rsidP="000B65AD">
      <w:r>
        <w:t xml:space="preserve">Currently making payments of $400 per month.  </w:t>
      </w:r>
    </w:p>
    <w:bookmarkEnd w:id="2"/>
    <w:p w14:paraId="0892385D" w14:textId="1DBCD996" w:rsidR="004C4B63" w:rsidRDefault="004C4B63" w:rsidP="000B65AD">
      <w:r>
        <w:t xml:space="preserve">I will have them </w:t>
      </w:r>
      <w:r w:rsidR="00BB3DC6">
        <w:t>make</w:t>
      </w:r>
      <w:r>
        <w:t xml:space="preserve"> consistent estimated tax payments to prevent accrual of any more balances. </w:t>
      </w:r>
    </w:p>
    <w:p w14:paraId="474A7780" w14:textId="56369F83" w:rsidR="004C4B63" w:rsidRDefault="004C4B63" w:rsidP="000B65AD">
      <w:r>
        <w:t>Roll the sole prop business into that, creating a PPIA.  Then, every couple of years they can provide financials to determine if they can increase that amount.</w:t>
      </w:r>
    </w:p>
    <w:p w14:paraId="43ED0949" w14:textId="77777777" w:rsidR="004C4B63" w:rsidRDefault="004C4B63" w:rsidP="000B65AD">
      <w:pPr>
        <w:rPr>
          <w:rFonts w:ascii="Univers" w:hAnsi="Univers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CAEF65" w14:textId="77777777" w:rsidR="00BB3DC6" w:rsidRDefault="00BB3DC6" w:rsidP="000B65AD">
      <w:pPr>
        <w:rPr>
          <w:rFonts w:ascii="Univers" w:hAnsi="Univers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B0D1CB" w14:textId="5CD093E2" w:rsidR="00BB3DC6" w:rsidRDefault="00BB3DC6" w:rsidP="000B65AD">
      <w:r>
        <w:t>TP has been misinformed by the IRS.</w:t>
      </w:r>
    </w:p>
    <w:p w14:paraId="763E76F5" w14:textId="49748562" w:rsidR="00BB3DC6" w:rsidRPr="00BB3DC6" w:rsidRDefault="00BB3DC6" w:rsidP="000B65AD">
      <w:r>
        <w:t>They know that they are a sole proprietorship.  They were set up on an installment agreement of $400 per month.  Now, the IRS is separating the two and treating the sole prop business as a separate entity and claiming they need another IA to cover that entity.  The original IA should have included the sole proprietorship.</w:t>
      </w:r>
    </w:p>
    <w:sectPr w:rsidR="00BB3DC6" w:rsidRPr="00BB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53583"/>
    <w:multiLevelType w:val="hybridMultilevel"/>
    <w:tmpl w:val="BB9A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84D52"/>
    <w:multiLevelType w:val="hybridMultilevel"/>
    <w:tmpl w:val="45E2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84498">
    <w:abstractNumId w:val="0"/>
  </w:num>
  <w:num w:numId="2" w16cid:durableId="104729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EB"/>
    <w:rsid w:val="000B65AD"/>
    <w:rsid w:val="001C0CE5"/>
    <w:rsid w:val="004C4B63"/>
    <w:rsid w:val="007B47F7"/>
    <w:rsid w:val="00816713"/>
    <w:rsid w:val="008D55D2"/>
    <w:rsid w:val="00A33ABF"/>
    <w:rsid w:val="00AB758E"/>
    <w:rsid w:val="00AC30C3"/>
    <w:rsid w:val="00BB3DC6"/>
    <w:rsid w:val="00CE7FC4"/>
    <w:rsid w:val="00D21C6E"/>
    <w:rsid w:val="00D41437"/>
    <w:rsid w:val="00F41404"/>
    <w:rsid w:val="00F42427"/>
    <w:rsid w:val="00F94AEB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05AE"/>
  <w15:chartTrackingRefBased/>
  <w15:docId w15:val="{35A9C010-0A11-4A70-A3AC-4B09BE73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A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47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878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9026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856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8193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.cornell.edu/uscode/text/26/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3</cp:revision>
  <dcterms:created xsi:type="dcterms:W3CDTF">2024-08-22T17:14:00Z</dcterms:created>
  <dcterms:modified xsi:type="dcterms:W3CDTF">2024-09-05T22:00:00Z</dcterms:modified>
</cp:coreProperties>
</file>